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96F704">
      <w:pPr>
        <w:pStyle w:val="15"/>
        <w:spacing w:before="0" w:after="100" w:line="360" w:lineRule="auto"/>
        <w:jc w:val="both"/>
        <w:rPr>
          <w:rFonts w:ascii="黑体" w:hAnsi="黑体" w:eastAsia="黑体" w:cs="黑体"/>
          <w:color w:val="000000"/>
          <w:sz w:val="32"/>
          <w:szCs w:val="18"/>
        </w:rPr>
      </w:pPr>
      <w:r>
        <w:rPr>
          <w:rFonts w:ascii="黑体" w:hAnsi="黑体" w:eastAsia="黑体" w:cs="黑体"/>
          <w:color w:val="000000"/>
          <w:sz w:val="32"/>
          <w:szCs w:val="18"/>
        </w:rPr>
        <w:t>附件4</w:t>
      </w:r>
    </w:p>
    <w:p w14:paraId="41AC44B7">
      <w:pPr>
        <w:pStyle w:val="15"/>
        <w:spacing w:before="0" w:after="0" w:line="700" w:lineRule="exact"/>
        <w:jc w:val="center"/>
        <w:rPr>
          <w:rFonts w:ascii="方正小标宋简体" w:hAnsi="方正小标宋简体" w:eastAsia="方正小标宋简体"/>
          <w:color w:val="000000"/>
          <w:sz w:val="44"/>
          <w:szCs w:val="18"/>
        </w:rPr>
      </w:pPr>
      <w:r>
        <w:rPr>
          <w:rFonts w:ascii="方正小标宋简体" w:hAnsi="方正小标宋简体" w:eastAsia="方正小标宋简体"/>
          <w:color w:val="000000"/>
          <w:sz w:val="44"/>
          <w:szCs w:val="18"/>
        </w:rPr>
        <w:t>社区教育特色项目工作室</w:t>
      </w:r>
    </w:p>
    <w:p w14:paraId="3EB9DE8D">
      <w:pPr>
        <w:pStyle w:val="15"/>
        <w:spacing w:before="0" w:after="0" w:line="700" w:lineRule="exact"/>
        <w:jc w:val="center"/>
        <w:rPr>
          <w:rFonts w:ascii="方正小标宋简体" w:hAnsi="方正小标宋简体" w:eastAsia="方正小标宋简体"/>
          <w:color w:val="000000"/>
          <w:spacing w:val="-36"/>
          <w:sz w:val="28"/>
          <w:szCs w:val="18"/>
        </w:rPr>
      </w:pPr>
      <w:r>
        <w:rPr>
          <w:rFonts w:ascii="方正小标宋简体" w:hAnsi="方正小标宋简体" w:eastAsia="方正小标宋简体"/>
          <w:color w:val="000000"/>
          <w:sz w:val="44"/>
          <w:szCs w:val="18"/>
        </w:rPr>
        <w:t>领衔人项目建设协议书</w:t>
      </w:r>
    </w:p>
    <w:p w14:paraId="0204C958">
      <w:pPr>
        <w:pStyle w:val="15"/>
        <w:spacing w:line="360" w:lineRule="auto"/>
        <w:ind w:firstLine="425"/>
        <w:rPr>
          <w:rFonts w:ascii="仿宋_GB2312;仿宋" w:hAnsi="仿宋_GB2312;仿宋" w:eastAsia="仿宋_GB2312;仿宋"/>
          <w:color w:val="000000"/>
          <w:spacing w:val="-36"/>
          <w:sz w:val="28"/>
          <w:szCs w:val="18"/>
        </w:rPr>
      </w:pPr>
    </w:p>
    <w:p w14:paraId="4147C6C7">
      <w:pPr>
        <w:pStyle w:val="15"/>
        <w:spacing w:before="0" w:after="0" w:line="520" w:lineRule="exact"/>
        <w:ind w:firstLine="562"/>
        <w:jc w:val="both"/>
        <w:rPr>
          <w:rFonts w:ascii="仿宋_GB2312;仿宋" w:hAnsi="仿宋_GB2312;仿宋" w:eastAsia="仿宋_GB2312;仿宋"/>
          <w:b/>
          <w:bCs/>
          <w:color w:val="000000"/>
          <w:sz w:val="28"/>
          <w:szCs w:val="28"/>
          <w:u w:val="single"/>
          <w:lang w:eastAsia="zh-CN"/>
        </w:rPr>
      </w:pPr>
      <w:r>
        <w:rPr>
          <w:rFonts w:ascii="仿宋_GB2312;仿宋" w:hAnsi="仿宋_GB2312;仿宋" w:eastAsia="仿宋_GB2312;仿宋"/>
          <w:b/>
          <w:bCs/>
          <w:color w:val="000000"/>
          <w:sz w:val="28"/>
          <w:szCs w:val="28"/>
        </w:rPr>
        <w:t xml:space="preserve">甲方： </w:t>
      </w:r>
      <w:r>
        <w:rPr>
          <w:rFonts w:ascii="仿宋_GB2312;仿宋" w:hAnsi="仿宋_GB2312;仿宋" w:eastAsia="仿宋_GB2312;仿宋"/>
          <w:b/>
          <w:bCs/>
          <w:color w:val="000000"/>
          <w:sz w:val="28"/>
          <w:szCs w:val="28"/>
          <w:u w:val="single"/>
          <w:lang w:eastAsia="zh-CN"/>
        </w:rPr>
        <w:t>常州市社会教育服务指导中心</w:t>
      </w:r>
    </w:p>
    <w:p w14:paraId="5230EE3F">
      <w:pPr>
        <w:pStyle w:val="15"/>
        <w:spacing w:before="0" w:after="0" w:line="520" w:lineRule="exact"/>
        <w:ind w:firstLine="562"/>
        <w:jc w:val="both"/>
        <w:rPr>
          <w:rFonts w:ascii="仿宋_GB2312;仿宋" w:hAnsi="仿宋_GB2312;仿宋" w:eastAsia="仿宋_GB2312;仿宋"/>
          <w:b/>
          <w:bCs/>
          <w:color w:val="000000"/>
          <w:sz w:val="28"/>
          <w:szCs w:val="28"/>
        </w:rPr>
      </w:pPr>
      <w:r>
        <w:rPr>
          <w:rFonts w:ascii="仿宋_GB2312;仿宋" w:hAnsi="仿宋_GB2312;仿宋" w:eastAsia="仿宋_GB2312;仿宋"/>
          <w:b/>
          <w:bCs/>
          <w:color w:val="000000"/>
          <w:sz w:val="28"/>
          <w:szCs w:val="28"/>
        </w:rPr>
        <w:t>乙方： 社区教育“</w:t>
      </w:r>
      <w:r>
        <w:rPr>
          <w:rFonts w:ascii="仿宋_GB2312;仿宋" w:hAnsi="仿宋_GB2312;仿宋" w:eastAsia="仿宋_GB2312;仿宋"/>
          <w:b/>
          <w:bCs/>
          <w:color w:val="000000"/>
          <w:sz w:val="28"/>
          <w:szCs w:val="28"/>
          <w:u w:val="single"/>
        </w:rPr>
        <w:t xml:space="preserve">          </w:t>
      </w:r>
      <w:r>
        <w:rPr>
          <w:rFonts w:ascii="仿宋_GB2312;仿宋" w:hAnsi="仿宋_GB2312;仿宋" w:eastAsia="仿宋_GB2312;仿宋"/>
          <w:b/>
          <w:bCs/>
          <w:color w:val="000000"/>
          <w:sz w:val="28"/>
          <w:szCs w:val="28"/>
        </w:rPr>
        <w:t>”特色项目工作室领衔人</w:t>
      </w:r>
    </w:p>
    <w:p w14:paraId="3229FF30">
      <w:pPr>
        <w:pStyle w:val="15"/>
        <w:spacing w:before="0" w:after="0" w:line="520" w:lineRule="exact"/>
        <w:ind w:firstLine="560"/>
        <w:jc w:val="both"/>
        <w:rPr>
          <w:rFonts w:ascii="仿宋_GB2312;仿宋" w:hAnsi="仿宋_GB2312;仿宋" w:eastAsia="仿宋_GB2312;仿宋"/>
          <w:color w:val="000000"/>
          <w:sz w:val="28"/>
          <w:szCs w:val="28"/>
        </w:rPr>
      </w:pPr>
      <w:r>
        <w:rPr>
          <w:rFonts w:ascii="仿宋_GB2312;仿宋" w:hAnsi="仿宋_GB2312;仿宋" w:eastAsia="仿宋_GB2312;仿宋"/>
          <w:color w:val="000000"/>
          <w:sz w:val="28"/>
        </w:rPr>
        <w:t>为了发挥工作室领衔人的项目建设能力以及示范引领作用，完善社区教育师资培养与平台建设的机制，使得特色项目工作室成为</w:t>
      </w:r>
      <w:r>
        <w:rPr>
          <w:rFonts w:ascii="仿宋_GB2312;仿宋" w:hAnsi="仿宋_GB2312;仿宋" w:eastAsia="仿宋_GB2312;仿宋" w:cs="仿宋_GB2312;仿宋"/>
          <w:color w:val="000000"/>
          <w:sz w:val="28"/>
          <w:szCs w:val="28"/>
        </w:rPr>
        <w:t>常州市优秀社区教育教师培养的孵化地和社区教育品牌项目培育的集聚地</w:t>
      </w:r>
      <w:r>
        <w:rPr>
          <w:rFonts w:ascii="仿宋_GB2312;仿宋" w:hAnsi="仿宋_GB2312;仿宋" w:eastAsia="仿宋_GB2312;仿宋"/>
          <w:color w:val="000000"/>
          <w:sz w:val="28"/>
        </w:rPr>
        <w:t>，促进全市社区教育深入内涵发展，</w:t>
      </w:r>
      <w:r>
        <w:rPr>
          <w:rFonts w:ascii="仿宋_GB2312;仿宋" w:hAnsi="仿宋_GB2312;仿宋" w:eastAsia="仿宋_GB2312;仿宋"/>
          <w:color w:val="000000"/>
          <w:sz w:val="28"/>
          <w:szCs w:val="28"/>
        </w:rPr>
        <w:t>就完成工作室特色项目、培养社区教育骨干教师、各项管理保障等方面有关事项，经常州市社会教育服务指导中心（以下简称甲方）和社区教育“</w:t>
      </w:r>
      <w:r>
        <w:rPr>
          <w:rFonts w:ascii="仿宋_GB2312;仿宋" w:hAnsi="仿宋_GB2312;仿宋" w:eastAsia="仿宋_GB2312;仿宋"/>
          <w:color w:val="000000"/>
          <w:sz w:val="28"/>
          <w:szCs w:val="28"/>
          <w:u w:val="single"/>
        </w:rPr>
        <w:t xml:space="preserve">          </w:t>
      </w:r>
      <w:r>
        <w:rPr>
          <w:rFonts w:ascii="仿宋_GB2312;仿宋" w:hAnsi="仿宋_GB2312;仿宋" w:eastAsia="仿宋_GB2312;仿宋"/>
          <w:color w:val="000000"/>
          <w:sz w:val="28"/>
          <w:szCs w:val="28"/>
        </w:rPr>
        <w:t>”特色项目工作室领衔人（以下简称乙方）协商达成如下协议：</w:t>
      </w:r>
    </w:p>
    <w:p w14:paraId="6C7D3540">
      <w:pPr>
        <w:numPr>
          <w:ilvl w:val="0"/>
          <w:numId w:val="0"/>
        </w:numPr>
        <w:spacing w:line="520" w:lineRule="exact"/>
        <w:ind w:left="0" w:firstLine="562"/>
        <w:rPr>
          <w:rFonts w:ascii="仿宋_GB2312;仿宋" w:hAnsi="仿宋_GB2312;仿宋" w:eastAsia="仿宋_GB2312;仿宋"/>
          <w:b/>
          <w:bCs/>
          <w:color w:val="000000"/>
          <w:sz w:val="28"/>
          <w:szCs w:val="28"/>
        </w:rPr>
      </w:pPr>
      <w:r>
        <w:rPr>
          <w:rFonts w:ascii="仿宋_GB2312;仿宋" w:hAnsi="仿宋_GB2312;仿宋" w:eastAsia="仿宋_GB2312;仿宋" w:cs="宋体"/>
          <w:b/>
          <w:bCs/>
          <w:color w:val="000000"/>
          <w:kern w:val="0"/>
          <w:sz w:val="28"/>
          <w:szCs w:val="28"/>
          <w:lang w:eastAsia="zh-CN"/>
        </w:rPr>
        <w:t>第一条：</w:t>
      </w:r>
      <w:r>
        <w:rPr>
          <w:rFonts w:ascii="仿宋_GB2312;仿宋" w:hAnsi="仿宋_GB2312;仿宋" w:eastAsia="仿宋_GB2312;仿宋" w:cs="宋体"/>
          <w:b/>
          <w:bCs/>
          <w:color w:val="000000"/>
          <w:kern w:val="0"/>
          <w:sz w:val="28"/>
          <w:szCs w:val="28"/>
        </w:rPr>
        <w:t>甲方必须履行的职责</w:t>
      </w:r>
    </w:p>
    <w:p w14:paraId="0FB783F3">
      <w:pPr>
        <w:numPr>
          <w:ilvl w:val="1"/>
          <w:numId w:val="1"/>
        </w:numPr>
        <w:tabs>
          <w:tab w:val="left" w:pos="1545"/>
        </w:tabs>
        <w:spacing w:line="520" w:lineRule="exact"/>
        <w:ind w:left="0" w:firstLine="560"/>
        <w:rPr>
          <w:rFonts w:ascii="仿宋_GB2312;仿宋" w:hAnsi="仿宋_GB2312;仿宋" w:eastAsia="仿宋_GB2312;仿宋"/>
          <w:color w:val="000000"/>
          <w:sz w:val="28"/>
          <w:szCs w:val="28"/>
        </w:rPr>
      </w:pPr>
      <w:r>
        <w:rPr>
          <w:rFonts w:ascii="仿宋_GB2312;仿宋" w:hAnsi="仿宋_GB2312;仿宋" w:eastAsia="仿宋_GB2312;仿宋" w:cs="仿宋_GB2312;仿宋"/>
          <w:color w:val="000000"/>
          <w:sz w:val="28"/>
          <w:szCs w:val="28"/>
        </w:rPr>
        <w:t xml:space="preserve"> </w:t>
      </w:r>
      <w:r>
        <w:rPr>
          <w:rFonts w:ascii="仿宋_GB2312;仿宋" w:hAnsi="仿宋_GB2312;仿宋" w:eastAsia="仿宋_GB2312;仿宋"/>
          <w:color w:val="000000"/>
          <w:sz w:val="28"/>
          <w:szCs w:val="28"/>
        </w:rPr>
        <w:t>对工作室的成立、运行起政策保障、组织指导和协调监督职能。</w:t>
      </w:r>
    </w:p>
    <w:p w14:paraId="0D9E6890">
      <w:pPr>
        <w:numPr>
          <w:ilvl w:val="1"/>
          <w:numId w:val="2"/>
        </w:numPr>
        <w:tabs>
          <w:tab w:val="left" w:pos="0"/>
          <w:tab w:val="left" w:pos="1545"/>
        </w:tabs>
        <w:spacing w:line="520" w:lineRule="exact"/>
        <w:ind w:left="0" w:firstLine="560"/>
        <w:rPr>
          <w:rFonts w:ascii="仿宋_GB2312;仿宋" w:hAnsi="仿宋_GB2312;仿宋" w:eastAsia="仿宋_GB2312;仿宋"/>
          <w:color w:val="000000"/>
          <w:sz w:val="28"/>
          <w:szCs w:val="28"/>
        </w:rPr>
      </w:pPr>
      <w:r>
        <w:rPr>
          <w:rFonts w:ascii="仿宋_GB2312;仿宋" w:hAnsi="仿宋_GB2312;仿宋" w:eastAsia="仿宋_GB2312;仿宋" w:cs="仿宋_GB2312;仿宋"/>
          <w:color w:val="000000"/>
          <w:sz w:val="28"/>
          <w:szCs w:val="28"/>
        </w:rPr>
        <w:t xml:space="preserve"> </w:t>
      </w:r>
      <w:r>
        <w:rPr>
          <w:rFonts w:ascii="仿宋_GB2312;仿宋" w:hAnsi="仿宋_GB2312;仿宋" w:eastAsia="仿宋_GB2312;仿宋"/>
          <w:color w:val="000000"/>
          <w:sz w:val="28"/>
          <w:szCs w:val="28"/>
        </w:rPr>
        <w:t>帮助乙方对工作室研究成果、项目实验成果、课程建设成果等进行输出和辐射。</w:t>
      </w:r>
    </w:p>
    <w:p w14:paraId="3065BC2A">
      <w:pPr>
        <w:numPr>
          <w:ilvl w:val="1"/>
          <w:numId w:val="2"/>
        </w:numPr>
        <w:tabs>
          <w:tab w:val="left" w:pos="0"/>
          <w:tab w:val="left" w:pos="1545"/>
        </w:tabs>
        <w:spacing w:line="520" w:lineRule="exact"/>
        <w:ind w:left="0" w:firstLine="560"/>
        <w:rPr>
          <w:rFonts w:ascii="仿宋_GB2312;仿宋" w:hAnsi="仿宋_GB2312;仿宋" w:eastAsia="仿宋_GB2312;仿宋" w:cs="宋体"/>
          <w:color w:val="000000"/>
          <w:sz w:val="28"/>
          <w:szCs w:val="28"/>
        </w:rPr>
      </w:pPr>
      <w:r>
        <w:rPr>
          <w:rFonts w:ascii="仿宋_GB2312;仿宋" w:hAnsi="仿宋_GB2312;仿宋" w:eastAsia="仿宋_GB2312;仿宋" w:cs="仿宋_GB2312;仿宋"/>
          <w:color w:val="000000"/>
          <w:sz w:val="28"/>
          <w:szCs w:val="28"/>
        </w:rPr>
        <w:t xml:space="preserve"> </w:t>
      </w:r>
      <w:r>
        <w:rPr>
          <w:rFonts w:ascii="仿宋_GB2312;仿宋" w:hAnsi="仿宋_GB2312;仿宋" w:eastAsia="仿宋_GB2312;仿宋"/>
          <w:color w:val="000000"/>
          <w:sz w:val="28"/>
          <w:szCs w:val="28"/>
        </w:rPr>
        <w:t>为乙方的工作提供时间、设备、物质、场所、智力等方面的支持。</w:t>
      </w:r>
    </w:p>
    <w:p w14:paraId="58403E70">
      <w:pPr>
        <w:numPr>
          <w:ilvl w:val="1"/>
          <w:numId w:val="2"/>
        </w:numPr>
        <w:tabs>
          <w:tab w:val="left" w:pos="0"/>
          <w:tab w:val="left" w:pos="1545"/>
        </w:tabs>
        <w:spacing w:line="520" w:lineRule="exact"/>
        <w:ind w:left="0" w:firstLine="560"/>
        <w:rPr>
          <w:rFonts w:ascii="仿宋_GB2312;仿宋" w:hAnsi="仿宋_GB2312;仿宋" w:eastAsia="仿宋_GB2312;仿宋" w:cs="宋体"/>
          <w:color w:val="000000"/>
          <w:sz w:val="28"/>
          <w:szCs w:val="28"/>
        </w:rPr>
      </w:pPr>
      <w:r>
        <w:rPr>
          <w:rFonts w:ascii="仿宋_GB2312;仿宋" w:hAnsi="仿宋_GB2312;仿宋" w:eastAsia="仿宋_GB2312;仿宋" w:cs="宋体"/>
          <w:color w:val="000000"/>
          <w:sz w:val="28"/>
          <w:szCs w:val="28"/>
        </w:rPr>
        <w:t>对乙方进行过程性指导、监督和终结性考核评估，并认定是否实现了本协议所确定的目标。</w:t>
      </w:r>
    </w:p>
    <w:p w14:paraId="2940CCE9">
      <w:pPr>
        <w:spacing w:line="520" w:lineRule="exact"/>
        <w:ind w:firstLine="560"/>
        <w:jc w:val="left"/>
        <w:rPr>
          <w:rFonts w:ascii="仿宋_GB2312;仿宋" w:hAnsi="仿宋_GB2312;仿宋" w:eastAsia="仿宋_GB2312;仿宋" w:cs="宋体"/>
          <w:color w:val="000000"/>
          <w:sz w:val="28"/>
          <w:szCs w:val="28"/>
        </w:rPr>
      </w:pPr>
      <w:r>
        <w:rPr>
          <w:rFonts w:ascii="仿宋_GB2312;仿宋" w:hAnsi="仿宋_GB2312;仿宋" w:eastAsia="仿宋_GB2312;仿宋" w:cs="宋体"/>
          <w:color w:val="000000"/>
          <w:sz w:val="28"/>
          <w:szCs w:val="28"/>
        </w:rPr>
        <w:t>第五款根据《社区教育特色项目工作室建设方案》相关规定</w:t>
      </w:r>
      <w:r>
        <w:rPr>
          <w:rFonts w:hint="eastAsia" w:ascii="仿宋_GB2312;仿宋" w:hAnsi="仿宋_GB2312;仿宋" w:eastAsia="仿宋_GB2312;仿宋" w:cs="宋体"/>
          <w:color w:val="000000"/>
          <w:sz w:val="28"/>
          <w:szCs w:val="28"/>
          <w:lang w:val="en-US" w:eastAsia="zh-CN"/>
        </w:rPr>
        <w:t>支付</w:t>
      </w:r>
      <w:r>
        <w:rPr>
          <w:rFonts w:ascii="仿宋_GB2312;仿宋" w:hAnsi="仿宋_GB2312;仿宋" w:eastAsia="仿宋_GB2312;仿宋" w:cs="宋体"/>
          <w:color w:val="000000"/>
          <w:sz w:val="28"/>
          <w:szCs w:val="28"/>
        </w:rPr>
        <w:t>甲方工作室</w:t>
      </w:r>
      <w:r>
        <w:rPr>
          <w:rFonts w:hint="eastAsia" w:ascii="仿宋_GB2312;仿宋" w:hAnsi="仿宋_GB2312;仿宋" w:eastAsia="仿宋_GB2312;仿宋" w:cs="宋体"/>
          <w:color w:val="000000"/>
          <w:sz w:val="28"/>
          <w:szCs w:val="28"/>
          <w:lang w:val="en-US" w:eastAsia="zh-CN"/>
        </w:rPr>
        <w:t>建设支持</w:t>
      </w:r>
      <w:r>
        <w:rPr>
          <w:rFonts w:ascii="仿宋_GB2312;仿宋" w:hAnsi="仿宋_GB2312;仿宋" w:eastAsia="仿宋_GB2312;仿宋" w:cs="宋体"/>
          <w:color w:val="000000"/>
          <w:sz w:val="28"/>
          <w:szCs w:val="28"/>
        </w:rPr>
        <w:t>经费。</w:t>
      </w:r>
    </w:p>
    <w:p w14:paraId="2EFB0567">
      <w:pPr>
        <w:pStyle w:val="15"/>
        <w:spacing w:before="0" w:after="0" w:line="520" w:lineRule="exact"/>
        <w:ind w:firstLine="562"/>
        <w:jc w:val="both"/>
        <w:rPr>
          <w:rFonts w:ascii="仿宋_GB2312;仿宋" w:hAnsi="仿宋_GB2312;仿宋" w:eastAsia="仿宋_GB2312;仿宋"/>
          <w:color w:val="000000"/>
          <w:sz w:val="28"/>
          <w:szCs w:val="28"/>
        </w:rPr>
      </w:pPr>
      <w:r>
        <w:rPr>
          <w:rFonts w:ascii="仿宋_GB2312;仿宋" w:hAnsi="仿宋_GB2312;仿宋" w:eastAsia="仿宋_GB2312;仿宋"/>
          <w:b/>
          <w:bCs/>
          <w:color w:val="000000"/>
          <w:sz w:val="28"/>
          <w:szCs w:val="28"/>
        </w:rPr>
        <w:t>第</w:t>
      </w:r>
      <w:r>
        <w:rPr>
          <w:rFonts w:ascii="仿宋_GB2312;仿宋" w:hAnsi="仿宋_GB2312;仿宋" w:eastAsia="仿宋_GB2312;仿宋"/>
          <w:b/>
          <w:bCs/>
          <w:color w:val="000000"/>
          <w:sz w:val="28"/>
          <w:szCs w:val="28"/>
          <w:lang w:eastAsia="zh-CN"/>
        </w:rPr>
        <w:t>二</w:t>
      </w:r>
      <w:r>
        <w:rPr>
          <w:rFonts w:ascii="仿宋_GB2312;仿宋" w:hAnsi="仿宋_GB2312;仿宋" w:eastAsia="仿宋_GB2312;仿宋"/>
          <w:b/>
          <w:bCs/>
          <w:color w:val="000000"/>
          <w:sz w:val="28"/>
          <w:szCs w:val="28"/>
        </w:rPr>
        <w:t>条  乙方必须履行的职责</w:t>
      </w:r>
    </w:p>
    <w:p w14:paraId="2CC6714D">
      <w:pPr>
        <w:pStyle w:val="15"/>
        <w:spacing w:before="0" w:after="0" w:line="520" w:lineRule="exact"/>
        <w:ind w:firstLine="560"/>
        <w:jc w:val="both"/>
        <w:rPr>
          <w:rFonts w:ascii="仿宋_GB2312;仿宋" w:hAnsi="仿宋_GB2312;仿宋" w:eastAsia="仿宋_GB2312;仿宋" w:cs="Times New Roman"/>
          <w:color w:val="000000"/>
          <w:sz w:val="28"/>
          <w:szCs w:val="28"/>
        </w:rPr>
      </w:pPr>
      <w:r>
        <w:rPr>
          <w:rFonts w:ascii="仿宋_GB2312;仿宋" w:hAnsi="仿宋_GB2312;仿宋" w:eastAsia="仿宋_GB2312;仿宋"/>
          <w:color w:val="000000"/>
          <w:sz w:val="28"/>
          <w:szCs w:val="28"/>
        </w:rPr>
        <w:t xml:space="preserve">第一款  制订《社区教育“ </w:t>
      </w:r>
      <w:r>
        <w:rPr>
          <w:rFonts w:ascii="仿宋_GB2312;仿宋" w:hAnsi="仿宋_GB2312;仿宋" w:eastAsia="仿宋_GB2312;仿宋"/>
          <w:color w:val="000000"/>
          <w:sz w:val="28"/>
          <w:szCs w:val="28"/>
          <w:u w:val="single"/>
        </w:rPr>
        <w:t xml:space="preserve">       </w:t>
      </w:r>
      <w:r>
        <w:rPr>
          <w:rFonts w:ascii="仿宋_GB2312;仿宋" w:hAnsi="仿宋_GB2312;仿宋" w:eastAsia="仿宋_GB2312;仿宋"/>
          <w:color w:val="000000"/>
          <w:sz w:val="28"/>
          <w:szCs w:val="28"/>
        </w:rPr>
        <w:t>”特色项目工作室工作方案》，确定建设周期内的主要工作目标</w:t>
      </w:r>
      <w:r>
        <w:rPr>
          <w:rFonts w:ascii="仿宋_GB2312;仿宋" w:hAnsi="仿宋_GB2312;仿宋" w:eastAsia="仿宋_GB2312;仿宋" w:cs="Times New Roman"/>
          <w:color w:val="000000"/>
          <w:sz w:val="28"/>
          <w:szCs w:val="28"/>
        </w:rPr>
        <w:t>为：</w:t>
      </w:r>
    </w:p>
    <w:p w14:paraId="7E6A24B5">
      <w:pPr>
        <w:pStyle w:val="15"/>
        <w:spacing w:before="0" w:after="0" w:line="520" w:lineRule="exact"/>
        <w:ind w:firstLine="560"/>
        <w:jc w:val="both"/>
        <w:rPr>
          <w:rFonts w:ascii="仿宋_GB2312;仿宋" w:hAnsi="仿宋_GB2312;仿宋" w:eastAsia="仿宋_GB2312;仿宋" w:cs="Times New Roman"/>
          <w:color w:val="000000"/>
          <w:sz w:val="28"/>
          <w:szCs w:val="28"/>
          <w:u w:val="single"/>
        </w:rPr>
      </w:pPr>
      <w:r>
        <w:rPr>
          <w:rFonts w:ascii="仿宋_GB2312;仿宋" w:hAnsi="仿宋_GB2312;仿宋" w:eastAsia="仿宋_GB2312;仿宋" w:cs="仿宋_GB2312;仿宋"/>
          <w:color w:val="000000"/>
          <w:sz w:val="28"/>
          <w:szCs w:val="28"/>
          <w:u w:val="single"/>
        </w:rPr>
        <w:t xml:space="preserve">                                                         </w:t>
      </w:r>
    </w:p>
    <w:p w14:paraId="40D77ACF">
      <w:pPr>
        <w:pStyle w:val="15"/>
        <w:spacing w:before="0" w:after="0" w:line="520" w:lineRule="exact"/>
        <w:ind w:firstLine="560"/>
        <w:jc w:val="both"/>
        <w:rPr>
          <w:rFonts w:ascii="仿宋_GB2312;仿宋" w:hAnsi="仿宋_GB2312;仿宋" w:eastAsia="仿宋_GB2312;仿宋" w:cs="Times New Roman"/>
          <w:color w:val="000000"/>
          <w:sz w:val="28"/>
          <w:szCs w:val="28"/>
          <w:u w:val="single"/>
        </w:rPr>
      </w:pPr>
      <w:r>
        <w:rPr>
          <w:rFonts w:ascii="仿宋_GB2312;仿宋" w:hAnsi="仿宋_GB2312;仿宋" w:eastAsia="仿宋_GB2312;仿宋" w:cs="仿宋_GB2312;仿宋"/>
          <w:color w:val="000000"/>
          <w:sz w:val="28"/>
          <w:szCs w:val="28"/>
          <w:u w:val="single"/>
        </w:rPr>
        <w:t xml:space="preserve">                                                         </w:t>
      </w:r>
    </w:p>
    <w:p w14:paraId="5B39E18F">
      <w:pPr>
        <w:pStyle w:val="15"/>
        <w:spacing w:before="0" w:after="0" w:line="520" w:lineRule="exact"/>
        <w:ind w:firstLine="560"/>
        <w:jc w:val="both"/>
        <w:rPr>
          <w:rFonts w:ascii="仿宋_GB2312;仿宋" w:hAnsi="仿宋_GB2312;仿宋" w:eastAsia="仿宋_GB2312;仿宋" w:cs="Times New Roman"/>
          <w:color w:val="000000"/>
          <w:sz w:val="28"/>
          <w:szCs w:val="28"/>
          <w:u w:val="single"/>
        </w:rPr>
      </w:pPr>
      <w:r>
        <w:rPr>
          <w:rFonts w:ascii="仿宋_GB2312;仿宋" w:hAnsi="仿宋_GB2312;仿宋" w:eastAsia="仿宋_GB2312;仿宋" w:cs="仿宋_GB2312;仿宋"/>
          <w:color w:val="000000"/>
          <w:sz w:val="28"/>
          <w:szCs w:val="28"/>
          <w:u w:val="single"/>
        </w:rPr>
        <w:t xml:space="preserve">                                                         </w:t>
      </w:r>
    </w:p>
    <w:p w14:paraId="7F8201E4">
      <w:pPr>
        <w:pStyle w:val="15"/>
        <w:spacing w:before="0" w:after="0" w:line="520" w:lineRule="exact"/>
        <w:ind w:firstLine="560"/>
        <w:jc w:val="both"/>
        <w:rPr>
          <w:rFonts w:ascii="仿宋_GB2312;仿宋" w:hAnsi="仿宋_GB2312;仿宋" w:eastAsia="仿宋_GB2312;仿宋"/>
          <w:color w:val="000000"/>
          <w:sz w:val="28"/>
          <w:szCs w:val="28"/>
        </w:rPr>
      </w:pPr>
      <w:r>
        <w:rPr>
          <w:rFonts w:ascii="仿宋_GB2312;仿宋" w:hAnsi="仿宋_GB2312;仿宋" w:eastAsia="仿宋_GB2312;仿宋"/>
          <w:color w:val="000000"/>
          <w:sz w:val="28"/>
          <w:szCs w:val="28"/>
        </w:rPr>
        <w:t>第二款</w:t>
      </w:r>
      <w:r>
        <w:rPr>
          <w:rFonts w:ascii="仿宋_GB2312;仿宋" w:hAnsi="仿宋_GB2312;仿宋" w:eastAsia="仿宋_GB2312;仿宋"/>
          <w:b/>
          <w:bCs/>
          <w:color w:val="000000"/>
          <w:sz w:val="28"/>
          <w:szCs w:val="28"/>
        </w:rPr>
        <w:t xml:space="preserve">  </w:t>
      </w:r>
      <w:r>
        <w:rPr>
          <w:rFonts w:ascii="仿宋_GB2312;仿宋" w:hAnsi="仿宋_GB2312;仿宋" w:eastAsia="仿宋_GB2312;仿宋"/>
          <w:color w:val="000000"/>
          <w:sz w:val="28"/>
          <w:szCs w:val="28"/>
        </w:rPr>
        <w:t>确定工作室的特色项目、研究项目、实验项目、课程开发项目及各项目的主要建设目标、建设方式、预期成果及呈现（辐射）方式：</w:t>
      </w:r>
    </w:p>
    <w:p w14:paraId="003BB0B4">
      <w:pPr>
        <w:pStyle w:val="15"/>
        <w:spacing w:before="0" w:after="0" w:line="520" w:lineRule="exact"/>
        <w:ind w:firstLine="560"/>
        <w:jc w:val="both"/>
        <w:rPr>
          <w:rFonts w:ascii="仿宋_GB2312;仿宋" w:hAnsi="仿宋_GB2312;仿宋" w:eastAsia="仿宋_GB2312;仿宋"/>
          <w:color w:val="000000"/>
          <w:sz w:val="28"/>
          <w:szCs w:val="28"/>
          <w:u w:val="single"/>
        </w:rPr>
      </w:pPr>
      <w:r>
        <w:rPr>
          <w:rFonts w:ascii="仿宋_GB2312;仿宋" w:hAnsi="仿宋_GB2312;仿宋" w:eastAsia="仿宋_GB2312;仿宋" w:cs="仿宋_GB2312;仿宋"/>
          <w:color w:val="000000"/>
          <w:sz w:val="28"/>
          <w:szCs w:val="28"/>
          <w:u w:val="single"/>
        </w:rPr>
        <w:t xml:space="preserve">                                                         </w:t>
      </w:r>
    </w:p>
    <w:p w14:paraId="3C0D4872">
      <w:pPr>
        <w:pStyle w:val="15"/>
        <w:spacing w:before="0" w:after="0" w:line="520" w:lineRule="exact"/>
        <w:ind w:firstLine="560"/>
        <w:jc w:val="both"/>
        <w:rPr>
          <w:rFonts w:ascii="仿宋_GB2312;仿宋" w:hAnsi="仿宋_GB2312;仿宋" w:eastAsia="仿宋_GB2312;仿宋"/>
          <w:color w:val="000000"/>
          <w:sz w:val="28"/>
          <w:szCs w:val="28"/>
          <w:u w:val="single"/>
        </w:rPr>
      </w:pPr>
      <w:r>
        <w:rPr>
          <w:rFonts w:ascii="仿宋_GB2312;仿宋" w:hAnsi="仿宋_GB2312;仿宋" w:eastAsia="仿宋_GB2312;仿宋" w:cs="仿宋_GB2312;仿宋"/>
          <w:color w:val="000000"/>
          <w:sz w:val="28"/>
          <w:szCs w:val="28"/>
          <w:u w:val="single"/>
        </w:rPr>
        <w:t xml:space="preserve">                                                         </w:t>
      </w:r>
    </w:p>
    <w:p w14:paraId="6E0CE43D">
      <w:pPr>
        <w:pStyle w:val="15"/>
        <w:spacing w:before="0" w:after="0" w:line="520" w:lineRule="exact"/>
        <w:ind w:firstLine="560"/>
        <w:jc w:val="both"/>
        <w:rPr>
          <w:rFonts w:ascii="仿宋_GB2312;仿宋" w:hAnsi="仿宋_GB2312;仿宋" w:eastAsia="仿宋_GB2312;仿宋"/>
          <w:color w:val="000000"/>
          <w:sz w:val="28"/>
          <w:szCs w:val="28"/>
          <w:u w:val="single"/>
        </w:rPr>
      </w:pPr>
      <w:r>
        <w:rPr>
          <w:rFonts w:ascii="仿宋_GB2312;仿宋" w:hAnsi="仿宋_GB2312;仿宋" w:eastAsia="仿宋_GB2312;仿宋" w:cs="仿宋_GB2312;仿宋"/>
          <w:color w:val="000000"/>
          <w:sz w:val="28"/>
          <w:szCs w:val="28"/>
          <w:u w:val="single"/>
        </w:rPr>
        <w:t xml:space="preserve">                                                         </w:t>
      </w:r>
    </w:p>
    <w:p w14:paraId="7F43ACC1">
      <w:pPr>
        <w:pStyle w:val="15"/>
        <w:spacing w:before="0" w:after="0" w:line="520" w:lineRule="exact"/>
        <w:ind w:firstLine="560"/>
        <w:jc w:val="both"/>
        <w:rPr>
          <w:rFonts w:ascii="仿宋_GB2312;仿宋" w:hAnsi="仿宋_GB2312;仿宋" w:eastAsia="仿宋_GB2312;仿宋"/>
          <w:color w:val="000000"/>
          <w:sz w:val="28"/>
          <w:szCs w:val="28"/>
          <w:u w:val="single"/>
        </w:rPr>
      </w:pPr>
      <w:r>
        <w:rPr>
          <w:rFonts w:ascii="仿宋_GB2312;仿宋" w:hAnsi="仿宋_GB2312;仿宋" w:eastAsia="仿宋_GB2312;仿宋" w:cs="仿宋_GB2312;仿宋"/>
          <w:color w:val="000000"/>
          <w:sz w:val="28"/>
          <w:szCs w:val="28"/>
          <w:u w:val="single"/>
        </w:rPr>
        <w:t xml:space="preserve">                                                         </w:t>
      </w:r>
    </w:p>
    <w:p w14:paraId="790546C7">
      <w:pPr>
        <w:spacing w:line="520" w:lineRule="exact"/>
        <w:ind w:firstLine="560"/>
        <w:rPr>
          <w:rFonts w:ascii="仿宋_GB2312;仿宋" w:hAnsi="仿宋_GB2312;仿宋" w:eastAsia="仿宋_GB2312;仿宋"/>
          <w:color w:val="000000"/>
          <w:sz w:val="28"/>
          <w:szCs w:val="28"/>
        </w:rPr>
      </w:pPr>
      <w:r>
        <w:rPr>
          <w:rFonts w:ascii="仿宋_GB2312;仿宋" w:hAnsi="仿宋_GB2312;仿宋" w:eastAsia="仿宋_GB2312;仿宋"/>
          <w:color w:val="000000"/>
          <w:sz w:val="28"/>
          <w:szCs w:val="28"/>
        </w:rPr>
        <w:t>第三款</w:t>
      </w:r>
      <w:r>
        <w:rPr>
          <w:rFonts w:ascii="仿宋_GB2312;仿宋" w:hAnsi="仿宋_GB2312;仿宋" w:eastAsia="仿宋_GB2312;仿宋"/>
          <w:b/>
          <w:bCs/>
          <w:color w:val="000000"/>
          <w:sz w:val="28"/>
          <w:szCs w:val="28"/>
        </w:rPr>
        <w:t xml:space="preserve">  </w:t>
      </w:r>
      <w:r>
        <w:rPr>
          <w:rFonts w:ascii="仿宋_GB2312;仿宋" w:hAnsi="仿宋_GB2312;仿宋" w:eastAsia="仿宋_GB2312;仿宋"/>
          <w:color w:val="000000"/>
          <w:sz w:val="28"/>
          <w:szCs w:val="28"/>
        </w:rPr>
        <w:t>制订工作室成员培养考核方案，包括培养（成长）目标、学习形式，成长考核等，使乙方所有成员在一个建设周期内必须分别达到如下具体培养（成长）目标</w:t>
      </w:r>
      <w:r>
        <w:rPr>
          <w:rFonts w:hint="eastAsia" w:ascii="仿宋_GB2312;仿宋" w:hAnsi="仿宋_GB2312;仿宋" w:eastAsia="仿宋_GB2312;仿宋"/>
          <w:color w:val="000000"/>
          <w:sz w:val="28"/>
          <w:szCs w:val="28"/>
          <w:lang w:eastAsia="zh-CN"/>
        </w:rPr>
        <w:t>，</w:t>
      </w:r>
      <w:r>
        <w:rPr>
          <w:rFonts w:ascii="仿宋_GB2312;仿宋" w:hAnsi="仿宋_GB2312;仿宋" w:eastAsia="仿宋_GB2312;仿宋"/>
          <w:color w:val="000000"/>
          <w:sz w:val="28"/>
          <w:szCs w:val="28"/>
        </w:rPr>
        <w:t xml:space="preserve"> </w:t>
      </w:r>
      <w:r>
        <w:rPr>
          <w:rFonts w:ascii="仿宋_GB2312;仿宋" w:hAnsi="仿宋_GB2312;仿宋" w:eastAsia="仿宋_GB2312;仿宋" w:cs="宋体"/>
          <w:color w:val="000000"/>
          <w:sz w:val="28"/>
          <w:szCs w:val="28"/>
        </w:rPr>
        <w:t>同时，乙方应组织工作室成员参加社区教育培训，建立培训台账，确保成员每年人均参加社区教育（专题培训、研修、继续教育等）不少于1次，并纳入成员成长考核。</w:t>
      </w:r>
    </w:p>
    <w:tbl>
      <w:tblPr>
        <w:tblStyle w:val="7"/>
        <w:tblW w:w="8280" w:type="dxa"/>
        <w:jc w:val="center"/>
        <w:tblLayout w:type="fixed"/>
        <w:tblCellMar>
          <w:top w:w="0" w:type="dxa"/>
          <w:left w:w="108" w:type="dxa"/>
          <w:bottom w:w="0" w:type="dxa"/>
          <w:right w:w="108" w:type="dxa"/>
        </w:tblCellMar>
      </w:tblPr>
      <w:tblGrid>
        <w:gridCol w:w="1688"/>
        <w:gridCol w:w="6592"/>
      </w:tblGrid>
      <w:tr w14:paraId="07BF14B7">
        <w:tblPrEx>
          <w:tblCellMar>
            <w:top w:w="0" w:type="dxa"/>
            <w:left w:w="108" w:type="dxa"/>
            <w:bottom w:w="0" w:type="dxa"/>
            <w:right w:w="108" w:type="dxa"/>
          </w:tblCellMar>
        </w:tblPrEx>
        <w:trPr>
          <w:trHeight w:val="640" w:hRule="exact"/>
          <w:jc w:val="center"/>
        </w:trPr>
        <w:tc>
          <w:tcPr>
            <w:tcW w:w="1688" w:type="dxa"/>
            <w:tcBorders>
              <w:top w:val="single" w:color="000000" w:sz="4" w:space="0"/>
              <w:left w:val="single" w:color="000000" w:sz="4" w:space="0"/>
              <w:bottom w:val="single" w:color="000000" w:sz="4" w:space="0"/>
              <w:right w:val="single" w:color="000000" w:sz="4" w:space="0"/>
            </w:tcBorders>
            <w:vAlign w:val="center"/>
          </w:tcPr>
          <w:p w14:paraId="6847117C">
            <w:pPr>
              <w:spacing w:line="520" w:lineRule="exact"/>
              <w:jc w:val="center"/>
              <w:rPr>
                <w:rFonts w:ascii="仿宋_GB2312;仿宋" w:hAnsi="仿宋_GB2312;仿宋" w:eastAsia="仿宋_GB2312;仿宋"/>
                <w:color w:val="000000"/>
                <w:sz w:val="28"/>
                <w:szCs w:val="28"/>
              </w:rPr>
            </w:pPr>
            <w:r>
              <w:rPr>
                <w:rFonts w:ascii="仿宋_GB2312;仿宋" w:hAnsi="仿宋_GB2312;仿宋" w:eastAsia="仿宋_GB2312;仿宋"/>
                <w:color w:val="000000"/>
                <w:sz w:val="28"/>
                <w:szCs w:val="28"/>
              </w:rPr>
              <w:t>成员姓名</w:t>
            </w:r>
          </w:p>
        </w:tc>
        <w:tc>
          <w:tcPr>
            <w:tcW w:w="6592" w:type="dxa"/>
            <w:tcBorders>
              <w:top w:val="single" w:color="000000" w:sz="4" w:space="0"/>
              <w:left w:val="single" w:color="000000" w:sz="4" w:space="0"/>
              <w:bottom w:val="single" w:color="000000" w:sz="4" w:space="0"/>
              <w:right w:val="single" w:color="000000" w:sz="4" w:space="0"/>
            </w:tcBorders>
            <w:vAlign w:val="center"/>
          </w:tcPr>
          <w:p w14:paraId="32A53C87">
            <w:pPr>
              <w:spacing w:line="520" w:lineRule="exact"/>
              <w:ind w:firstLine="560"/>
              <w:jc w:val="center"/>
              <w:rPr>
                <w:rFonts w:ascii="仿宋_GB2312;仿宋" w:hAnsi="仿宋_GB2312;仿宋" w:eastAsia="仿宋_GB2312;仿宋"/>
                <w:color w:val="000000"/>
                <w:sz w:val="28"/>
                <w:szCs w:val="28"/>
              </w:rPr>
            </w:pPr>
            <w:r>
              <w:rPr>
                <w:rFonts w:ascii="仿宋_GB2312;仿宋" w:hAnsi="仿宋_GB2312;仿宋" w:eastAsia="仿宋_GB2312;仿宋"/>
                <w:color w:val="000000"/>
                <w:sz w:val="28"/>
                <w:szCs w:val="28"/>
              </w:rPr>
              <w:t>培养（成长）目标</w:t>
            </w:r>
          </w:p>
        </w:tc>
      </w:tr>
      <w:tr w14:paraId="64084712">
        <w:tblPrEx>
          <w:tblCellMar>
            <w:top w:w="0" w:type="dxa"/>
            <w:left w:w="108" w:type="dxa"/>
            <w:bottom w:w="0" w:type="dxa"/>
            <w:right w:w="108" w:type="dxa"/>
          </w:tblCellMar>
        </w:tblPrEx>
        <w:trPr>
          <w:trHeight w:val="948" w:hRule="exact"/>
          <w:jc w:val="center"/>
        </w:trPr>
        <w:tc>
          <w:tcPr>
            <w:tcW w:w="1688" w:type="dxa"/>
            <w:tcBorders>
              <w:top w:val="single" w:color="000000" w:sz="4" w:space="0"/>
              <w:left w:val="single" w:color="000000" w:sz="4" w:space="0"/>
              <w:bottom w:val="single" w:color="000000" w:sz="4" w:space="0"/>
              <w:right w:val="single" w:color="000000" w:sz="4" w:space="0"/>
            </w:tcBorders>
            <w:vAlign w:val="center"/>
          </w:tcPr>
          <w:p w14:paraId="6EC4715F">
            <w:pPr>
              <w:snapToGrid w:val="0"/>
              <w:spacing w:line="520" w:lineRule="exact"/>
              <w:jc w:val="center"/>
              <w:rPr>
                <w:rFonts w:ascii="仿宋_GB2312;仿宋" w:hAnsi="仿宋_GB2312;仿宋" w:eastAsia="仿宋_GB2312;仿宋"/>
                <w:color w:val="000000"/>
                <w:sz w:val="28"/>
                <w:szCs w:val="28"/>
              </w:rPr>
            </w:pPr>
          </w:p>
        </w:tc>
        <w:tc>
          <w:tcPr>
            <w:tcW w:w="6592" w:type="dxa"/>
            <w:tcBorders>
              <w:top w:val="single" w:color="000000" w:sz="4" w:space="0"/>
              <w:left w:val="single" w:color="000000" w:sz="4" w:space="0"/>
              <w:bottom w:val="single" w:color="000000" w:sz="4" w:space="0"/>
              <w:right w:val="single" w:color="000000" w:sz="4" w:space="0"/>
            </w:tcBorders>
            <w:vAlign w:val="center"/>
          </w:tcPr>
          <w:p w14:paraId="54AEABA5">
            <w:pPr>
              <w:snapToGrid w:val="0"/>
              <w:spacing w:line="520" w:lineRule="exact"/>
              <w:jc w:val="center"/>
              <w:rPr>
                <w:rFonts w:ascii="仿宋_GB2312;仿宋" w:hAnsi="仿宋_GB2312;仿宋" w:eastAsia="仿宋_GB2312;仿宋"/>
                <w:color w:val="000000"/>
                <w:sz w:val="28"/>
                <w:szCs w:val="28"/>
              </w:rPr>
            </w:pPr>
          </w:p>
        </w:tc>
      </w:tr>
      <w:tr w14:paraId="66580CAF">
        <w:tblPrEx>
          <w:tblCellMar>
            <w:top w:w="0" w:type="dxa"/>
            <w:left w:w="108" w:type="dxa"/>
            <w:bottom w:w="0" w:type="dxa"/>
            <w:right w:w="108" w:type="dxa"/>
          </w:tblCellMar>
        </w:tblPrEx>
        <w:trPr>
          <w:trHeight w:val="933" w:hRule="exact"/>
          <w:jc w:val="center"/>
        </w:trPr>
        <w:tc>
          <w:tcPr>
            <w:tcW w:w="1688" w:type="dxa"/>
            <w:tcBorders>
              <w:top w:val="single" w:color="000000" w:sz="4" w:space="0"/>
              <w:left w:val="single" w:color="000000" w:sz="4" w:space="0"/>
              <w:bottom w:val="single" w:color="000000" w:sz="4" w:space="0"/>
              <w:right w:val="single" w:color="000000" w:sz="4" w:space="0"/>
            </w:tcBorders>
            <w:vAlign w:val="center"/>
          </w:tcPr>
          <w:p w14:paraId="578A09C0">
            <w:pPr>
              <w:snapToGrid w:val="0"/>
              <w:spacing w:line="520" w:lineRule="exact"/>
              <w:jc w:val="center"/>
              <w:rPr>
                <w:rFonts w:ascii="仿宋_GB2312;仿宋" w:hAnsi="仿宋_GB2312;仿宋" w:eastAsia="仿宋_GB2312;仿宋"/>
                <w:color w:val="000000"/>
                <w:sz w:val="28"/>
                <w:szCs w:val="28"/>
              </w:rPr>
            </w:pPr>
          </w:p>
        </w:tc>
        <w:tc>
          <w:tcPr>
            <w:tcW w:w="6592" w:type="dxa"/>
            <w:tcBorders>
              <w:top w:val="single" w:color="000000" w:sz="4" w:space="0"/>
              <w:left w:val="single" w:color="000000" w:sz="4" w:space="0"/>
              <w:bottom w:val="single" w:color="000000" w:sz="4" w:space="0"/>
              <w:right w:val="single" w:color="000000" w:sz="4" w:space="0"/>
            </w:tcBorders>
            <w:vAlign w:val="center"/>
          </w:tcPr>
          <w:p w14:paraId="1C4DDD50">
            <w:pPr>
              <w:snapToGrid w:val="0"/>
              <w:spacing w:line="520" w:lineRule="exact"/>
              <w:jc w:val="center"/>
              <w:rPr>
                <w:rFonts w:ascii="仿宋_GB2312;仿宋" w:hAnsi="仿宋_GB2312;仿宋" w:eastAsia="仿宋_GB2312;仿宋"/>
                <w:color w:val="000000"/>
                <w:sz w:val="28"/>
                <w:szCs w:val="28"/>
              </w:rPr>
            </w:pPr>
          </w:p>
        </w:tc>
      </w:tr>
      <w:tr w14:paraId="20D6E913">
        <w:tblPrEx>
          <w:tblCellMar>
            <w:top w:w="0" w:type="dxa"/>
            <w:left w:w="108" w:type="dxa"/>
            <w:bottom w:w="0" w:type="dxa"/>
            <w:right w:w="108" w:type="dxa"/>
          </w:tblCellMar>
        </w:tblPrEx>
        <w:trPr>
          <w:trHeight w:val="912" w:hRule="exact"/>
          <w:jc w:val="center"/>
        </w:trPr>
        <w:tc>
          <w:tcPr>
            <w:tcW w:w="1688" w:type="dxa"/>
            <w:tcBorders>
              <w:top w:val="single" w:color="000000" w:sz="4" w:space="0"/>
              <w:left w:val="single" w:color="000000" w:sz="4" w:space="0"/>
              <w:bottom w:val="single" w:color="000000" w:sz="4" w:space="0"/>
              <w:right w:val="single" w:color="000000" w:sz="4" w:space="0"/>
            </w:tcBorders>
            <w:vAlign w:val="center"/>
          </w:tcPr>
          <w:p w14:paraId="0F7D1328">
            <w:pPr>
              <w:snapToGrid w:val="0"/>
              <w:spacing w:line="520" w:lineRule="exact"/>
              <w:jc w:val="center"/>
              <w:rPr>
                <w:rFonts w:ascii="仿宋_GB2312;仿宋" w:hAnsi="仿宋_GB2312;仿宋" w:eastAsia="仿宋_GB2312;仿宋"/>
                <w:color w:val="000000"/>
                <w:sz w:val="28"/>
                <w:szCs w:val="28"/>
              </w:rPr>
            </w:pPr>
          </w:p>
        </w:tc>
        <w:tc>
          <w:tcPr>
            <w:tcW w:w="6592" w:type="dxa"/>
            <w:tcBorders>
              <w:top w:val="single" w:color="000000" w:sz="4" w:space="0"/>
              <w:left w:val="single" w:color="000000" w:sz="4" w:space="0"/>
              <w:bottom w:val="single" w:color="000000" w:sz="4" w:space="0"/>
              <w:right w:val="single" w:color="000000" w:sz="4" w:space="0"/>
            </w:tcBorders>
            <w:vAlign w:val="center"/>
          </w:tcPr>
          <w:p w14:paraId="43434AF8">
            <w:pPr>
              <w:snapToGrid w:val="0"/>
              <w:spacing w:line="520" w:lineRule="exact"/>
              <w:jc w:val="center"/>
              <w:rPr>
                <w:rFonts w:ascii="仿宋_GB2312;仿宋" w:hAnsi="仿宋_GB2312;仿宋" w:eastAsia="仿宋_GB2312;仿宋"/>
                <w:color w:val="000000"/>
                <w:sz w:val="28"/>
                <w:szCs w:val="28"/>
              </w:rPr>
            </w:pPr>
          </w:p>
        </w:tc>
      </w:tr>
      <w:tr w14:paraId="33F333E8">
        <w:tblPrEx>
          <w:tblCellMar>
            <w:top w:w="0" w:type="dxa"/>
            <w:left w:w="108" w:type="dxa"/>
            <w:bottom w:w="0" w:type="dxa"/>
            <w:right w:w="108" w:type="dxa"/>
          </w:tblCellMar>
        </w:tblPrEx>
        <w:trPr>
          <w:trHeight w:val="883" w:hRule="exact"/>
          <w:jc w:val="center"/>
        </w:trPr>
        <w:tc>
          <w:tcPr>
            <w:tcW w:w="1688" w:type="dxa"/>
            <w:tcBorders>
              <w:top w:val="single" w:color="000000" w:sz="4" w:space="0"/>
              <w:left w:val="single" w:color="000000" w:sz="4" w:space="0"/>
              <w:bottom w:val="single" w:color="000000" w:sz="4" w:space="0"/>
              <w:right w:val="single" w:color="000000" w:sz="4" w:space="0"/>
            </w:tcBorders>
            <w:vAlign w:val="center"/>
          </w:tcPr>
          <w:p w14:paraId="532DDCF3">
            <w:pPr>
              <w:snapToGrid w:val="0"/>
              <w:spacing w:line="520" w:lineRule="exact"/>
              <w:jc w:val="center"/>
              <w:rPr>
                <w:rFonts w:ascii="仿宋_GB2312;仿宋" w:hAnsi="仿宋_GB2312;仿宋" w:eastAsia="仿宋_GB2312;仿宋"/>
                <w:color w:val="000000"/>
                <w:sz w:val="28"/>
                <w:szCs w:val="28"/>
              </w:rPr>
            </w:pPr>
          </w:p>
        </w:tc>
        <w:tc>
          <w:tcPr>
            <w:tcW w:w="6592" w:type="dxa"/>
            <w:tcBorders>
              <w:top w:val="single" w:color="000000" w:sz="4" w:space="0"/>
              <w:left w:val="single" w:color="000000" w:sz="4" w:space="0"/>
              <w:bottom w:val="single" w:color="000000" w:sz="4" w:space="0"/>
              <w:right w:val="single" w:color="000000" w:sz="4" w:space="0"/>
            </w:tcBorders>
            <w:vAlign w:val="center"/>
          </w:tcPr>
          <w:p w14:paraId="3573F70D">
            <w:pPr>
              <w:snapToGrid w:val="0"/>
              <w:spacing w:line="520" w:lineRule="exact"/>
              <w:jc w:val="center"/>
              <w:rPr>
                <w:rFonts w:ascii="仿宋_GB2312;仿宋" w:hAnsi="仿宋_GB2312;仿宋" w:eastAsia="仿宋_GB2312;仿宋"/>
                <w:color w:val="000000"/>
                <w:sz w:val="28"/>
                <w:szCs w:val="28"/>
              </w:rPr>
            </w:pPr>
          </w:p>
        </w:tc>
      </w:tr>
      <w:tr w14:paraId="6BE3DA2E">
        <w:tblPrEx>
          <w:tblCellMar>
            <w:top w:w="0" w:type="dxa"/>
            <w:left w:w="108" w:type="dxa"/>
            <w:bottom w:w="0" w:type="dxa"/>
            <w:right w:w="108" w:type="dxa"/>
          </w:tblCellMar>
        </w:tblPrEx>
        <w:trPr>
          <w:trHeight w:val="892" w:hRule="exact"/>
          <w:jc w:val="center"/>
        </w:trPr>
        <w:tc>
          <w:tcPr>
            <w:tcW w:w="1688" w:type="dxa"/>
            <w:tcBorders>
              <w:top w:val="single" w:color="000000" w:sz="4" w:space="0"/>
              <w:left w:val="single" w:color="000000" w:sz="4" w:space="0"/>
              <w:bottom w:val="single" w:color="000000" w:sz="4" w:space="0"/>
              <w:right w:val="single" w:color="000000" w:sz="4" w:space="0"/>
            </w:tcBorders>
            <w:vAlign w:val="center"/>
          </w:tcPr>
          <w:p w14:paraId="2394B9BD">
            <w:pPr>
              <w:snapToGrid w:val="0"/>
              <w:spacing w:line="520" w:lineRule="exact"/>
              <w:jc w:val="center"/>
              <w:rPr>
                <w:rFonts w:ascii="仿宋_GB2312;仿宋" w:hAnsi="仿宋_GB2312;仿宋" w:eastAsia="仿宋_GB2312;仿宋"/>
                <w:color w:val="000000"/>
                <w:sz w:val="28"/>
                <w:szCs w:val="28"/>
              </w:rPr>
            </w:pPr>
          </w:p>
        </w:tc>
        <w:tc>
          <w:tcPr>
            <w:tcW w:w="6592" w:type="dxa"/>
            <w:tcBorders>
              <w:top w:val="single" w:color="000000" w:sz="4" w:space="0"/>
              <w:left w:val="single" w:color="000000" w:sz="4" w:space="0"/>
              <w:bottom w:val="single" w:color="000000" w:sz="4" w:space="0"/>
              <w:right w:val="single" w:color="000000" w:sz="4" w:space="0"/>
            </w:tcBorders>
            <w:vAlign w:val="center"/>
          </w:tcPr>
          <w:p w14:paraId="7F87B6DA">
            <w:pPr>
              <w:snapToGrid w:val="0"/>
              <w:spacing w:line="520" w:lineRule="exact"/>
              <w:jc w:val="center"/>
              <w:rPr>
                <w:rFonts w:ascii="仿宋_GB2312;仿宋" w:hAnsi="仿宋_GB2312;仿宋" w:eastAsia="仿宋_GB2312;仿宋"/>
                <w:color w:val="000000"/>
                <w:sz w:val="28"/>
                <w:szCs w:val="28"/>
              </w:rPr>
            </w:pPr>
          </w:p>
        </w:tc>
      </w:tr>
      <w:tr w14:paraId="31F0BE3C">
        <w:tblPrEx>
          <w:tblCellMar>
            <w:top w:w="0" w:type="dxa"/>
            <w:left w:w="108" w:type="dxa"/>
            <w:bottom w:w="0" w:type="dxa"/>
            <w:right w:w="108" w:type="dxa"/>
          </w:tblCellMar>
        </w:tblPrEx>
        <w:trPr>
          <w:trHeight w:val="978" w:hRule="exact"/>
          <w:jc w:val="center"/>
        </w:trPr>
        <w:tc>
          <w:tcPr>
            <w:tcW w:w="1688" w:type="dxa"/>
            <w:tcBorders>
              <w:top w:val="single" w:color="000000" w:sz="4" w:space="0"/>
              <w:left w:val="single" w:color="000000" w:sz="4" w:space="0"/>
              <w:bottom w:val="single" w:color="000000" w:sz="4" w:space="0"/>
              <w:right w:val="single" w:color="000000" w:sz="4" w:space="0"/>
            </w:tcBorders>
            <w:vAlign w:val="center"/>
          </w:tcPr>
          <w:p w14:paraId="2243A5C8">
            <w:pPr>
              <w:snapToGrid w:val="0"/>
              <w:spacing w:line="520" w:lineRule="exact"/>
              <w:jc w:val="center"/>
              <w:rPr>
                <w:rFonts w:ascii="仿宋_GB2312;仿宋" w:hAnsi="仿宋_GB2312;仿宋" w:eastAsia="仿宋_GB2312;仿宋"/>
                <w:color w:val="000000"/>
                <w:sz w:val="28"/>
                <w:szCs w:val="28"/>
              </w:rPr>
            </w:pPr>
          </w:p>
          <w:p w14:paraId="41E80078">
            <w:pPr>
              <w:spacing w:line="520" w:lineRule="exact"/>
              <w:jc w:val="center"/>
              <w:rPr>
                <w:rFonts w:ascii="仿宋_GB2312;仿宋" w:hAnsi="仿宋_GB2312;仿宋" w:eastAsia="仿宋_GB2312;仿宋"/>
                <w:color w:val="000000"/>
                <w:sz w:val="28"/>
                <w:szCs w:val="28"/>
              </w:rPr>
            </w:pPr>
          </w:p>
          <w:p w14:paraId="67A4CCB7">
            <w:pPr>
              <w:spacing w:line="520" w:lineRule="exact"/>
              <w:jc w:val="center"/>
              <w:rPr>
                <w:rFonts w:ascii="仿宋_GB2312;仿宋" w:hAnsi="仿宋_GB2312;仿宋" w:eastAsia="仿宋_GB2312;仿宋"/>
                <w:color w:val="000000"/>
                <w:sz w:val="28"/>
                <w:szCs w:val="28"/>
              </w:rPr>
            </w:pPr>
          </w:p>
          <w:p w14:paraId="07DC527F">
            <w:pPr>
              <w:spacing w:line="520" w:lineRule="exact"/>
              <w:jc w:val="center"/>
              <w:rPr>
                <w:rFonts w:ascii="仿宋_GB2312;仿宋" w:hAnsi="仿宋_GB2312;仿宋" w:eastAsia="仿宋_GB2312;仿宋"/>
                <w:color w:val="000000"/>
                <w:sz w:val="28"/>
                <w:szCs w:val="28"/>
              </w:rPr>
            </w:pPr>
          </w:p>
        </w:tc>
        <w:tc>
          <w:tcPr>
            <w:tcW w:w="6592" w:type="dxa"/>
            <w:tcBorders>
              <w:top w:val="single" w:color="000000" w:sz="4" w:space="0"/>
              <w:left w:val="single" w:color="000000" w:sz="4" w:space="0"/>
              <w:bottom w:val="single" w:color="000000" w:sz="4" w:space="0"/>
              <w:right w:val="single" w:color="000000" w:sz="4" w:space="0"/>
            </w:tcBorders>
            <w:vAlign w:val="center"/>
          </w:tcPr>
          <w:p w14:paraId="7BC8AC4B">
            <w:pPr>
              <w:snapToGrid w:val="0"/>
              <w:spacing w:line="520" w:lineRule="exact"/>
              <w:jc w:val="center"/>
              <w:rPr>
                <w:rFonts w:ascii="仿宋_GB2312;仿宋" w:hAnsi="仿宋_GB2312;仿宋" w:eastAsia="仿宋_GB2312;仿宋"/>
                <w:color w:val="000000"/>
                <w:sz w:val="28"/>
                <w:szCs w:val="28"/>
              </w:rPr>
            </w:pPr>
          </w:p>
        </w:tc>
      </w:tr>
      <w:tr w14:paraId="7E08BA29">
        <w:tblPrEx>
          <w:tblCellMar>
            <w:top w:w="0" w:type="dxa"/>
            <w:left w:w="108" w:type="dxa"/>
            <w:bottom w:w="0" w:type="dxa"/>
            <w:right w:w="108" w:type="dxa"/>
          </w:tblCellMar>
        </w:tblPrEx>
        <w:trPr>
          <w:trHeight w:val="978" w:hRule="exact"/>
          <w:jc w:val="center"/>
        </w:trPr>
        <w:tc>
          <w:tcPr>
            <w:tcW w:w="1688" w:type="dxa"/>
            <w:tcBorders>
              <w:top w:val="single" w:color="000000" w:sz="4" w:space="0"/>
              <w:left w:val="single" w:color="000000" w:sz="4" w:space="0"/>
              <w:bottom w:val="single" w:color="000000" w:sz="4" w:space="0"/>
              <w:right w:val="single" w:color="000000" w:sz="4" w:space="0"/>
            </w:tcBorders>
            <w:vAlign w:val="center"/>
          </w:tcPr>
          <w:p w14:paraId="7F7260C4">
            <w:pPr>
              <w:snapToGrid w:val="0"/>
              <w:spacing w:line="520" w:lineRule="exact"/>
              <w:jc w:val="center"/>
              <w:rPr>
                <w:rFonts w:ascii="仿宋_GB2312;仿宋" w:hAnsi="仿宋_GB2312;仿宋" w:eastAsia="仿宋_GB2312;仿宋"/>
                <w:color w:val="000000"/>
                <w:sz w:val="28"/>
                <w:szCs w:val="28"/>
              </w:rPr>
            </w:pPr>
          </w:p>
        </w:tc>
        <w:tc>
          <w:tcPr>
            <w:tcW w:w="6592" w:type="dxa"/>
            <w:tcBorders>
              <w:top w:val="single" w:color="000000" w:sz="4" w:space="0"/>
              <w:left w:val="single" w:color="000000" w:sz="4" w:space="0"/>
              <w:bottom w:val="single" w:color="000000" w:sz="4" w:space="0"/>
              <w:right w:val="single" w:color="000000" w:sz="4" w:space="0"/>
            </w:tcBorders>
            <w:vAlign w:val="center"/>
          </w:tcPr>
          <w:p w14:paraId="62BC27C5">
            <w:pPr>
              <w:snapToGrid w:val="0"/>
              <w:spacing w:line="520" w:lineRule="exact"/>
              <w:jc w:val="center"/>
              <w:rPr>
                <w:rFonts w:ascii="仿宋_GB2312;仿宋" w:hAnsi="仿宋_GB2312;仿宋" w:eastAsia="仿宋_GB2312;仿宋"/>
                <w:color w:val="000000"/>
                <w:sz w:val="28"/>
                <w:szCs w:val="28"/>
              </w:rPr>
            </w:pPr>
          </w:p>
        </w:tc>
      </w:tr>
      <w:tr w14:paraId="73DFD061">
        <w:tblPrEx>
          <w:tblCellMar>
            <w:top w:w="0" w:type="dxa"/>
            <w:left w:w="108" w:type="dxa"/>
            <w:bottom w:w="0" w:type="dxa"/>
            <w:right w:w="108" w:type="dxa"/>
          </w:tblCellMar>
        </w:tblPrEx>
        <w:trPr>
          <w:trHeight w:val="978" w:hRule="exact"/>
          <w:jc w:val="center"/>
        </w:trPr>
        <w:tc>
          <w:tcPr>
            <w:tcW w:w="1688" w:type="dxa"/>
            <w:tcBorders>
              <w:top w:val="single" w:color="000000" w:sz="4" w:space="0"/>
              <w:left w:val="single" w:color="000000" w:sz="4" w:space="0"/>
              <w:bottom w:val="single" w:color="000000" w:sz="4" w:space="0"/>
              <w:right w:val="single" w:color="000000" w:sz="4" w:space="0"/>
            </w:tcBorders>
            <w:vAlign w:val="center"/>
          </w:tcPr>
          <w:p w14:paraId="57993096">
            <w:pPr>
              <w:snapToGrid w:val="0"/>
              <w:spacing w:line="520" w:lineRule="exact"/>
              <w:jc w:val="center"/>
              <w:rPr>
                <w:rFonts w:ascii="仿宋_GB2312;仿宋" w:hAnsi="仿宋_GB2312;仿宋" w:eastAsia="仿宋_GB2312;仿宋"/>
                <w:color w:val="000000"/>
                <w:sz w:val="28"/>
                <w:szCs w:val="28"/>
              </w:rPr>
            </w:pPr>
          </w:p>
        </w:tc>
        <w:tc>
          <w:tcPr>
            <w:tcW w:w="6592" w:type="dxa"/>
            <w:tcBorders>
              <w:top w:val="single" w:color="000000" w:sz="4" w:space="0"/>
              <w:left w:val="single" w:color="000000" w:sz="4" w:space="0"/>
              <w:bottom w:val="single" w:color="000000" w:sz="4" w:space="0"/>
              <w:right w:val="single" w:color="000000" w:sz="4" w:space="0"/>
            </w:tcBorders>
            <w:vAlign w:val="center"/>
          </w:tcPr>
          <w:p w14:paraId="6B30365E">
            <w:pPr>
              <w:snapToGrid w:val="0"/>
              <w:spacing w:line="520" w:lineRule="exact"/>
              <w:jc w:val="center"/>
              <w:rPr>
                <w:rFonts w:ascii="仿宋_GB2312;仿宋" w:hAnsi="仿宋_GB2312;仿宋" w:eastAsia="仿宋_GB2312;仿宋"/>
                <w:color w:val="000000"/>
                <w:sz w:val="28"/>
                <w:szCs w:val="28"/>
              </w:rPr>
            </w:pPr>
          </w:p>
        </w:tc>
      </w:tr>
    </w:tbl>
    <w:p w14:paraId="6828E89E">
      <w:pPr>
        <w:spacing w:line="520" w:lineRule="exact"/>
        <w:ind w:firstLine="560"/>
        <w:rPr>
          <w:rFonts w:ascii="仿宋_GB2312;仿宋" w:hAnsi="仿宋_GB2312;仿宋" w:eastAsia="仿宋_GB2312;仿宋" w:cs="宋体"/>
          <w:color w:val="000000"/>
          <w:sz w:val="28"/>
          <w:szCs w:val="28"/>
        </w:rPr>
      </w:pPr>
      <w:r>
        <w:rPr>
          <w:rFonts w:ascii="仿宋_GB2312;仿宋" w:hAnsi="仿宋_GB2312;仿宋" w:eastAsia="仿宋_GB2312;仿宋"/>
          <w:color w:val="000000"/>
          <w:sz w:val="28"/>
          <w:szCs w:val="28"/>
        </w:rPr>
        <w:t>第四款</w:t>
      </w:r>
      <w:r>
        <w:rPr>
          <w:rFonts w:ascii="仿宋_GB2312;仿宋" w:hAnsi="仿宋_GB2312;仿宋" w:eastAsia="仿宋_GB2312;仿宋"/>
          <w:b/>
          <w:bCs/>
          <w:color w:val="000000"/>
          <w:sz w:val="28"/>
          <w:szCs w:val="28"/>
        </w:rPr>
        <w:t xml:space="preserve">  </w:t>
      </w:r>
      <w:r>
        <w:rPr>
          <w:rFonts w:ascii="仿宋_GB2312;仿宋" w:hAnsi="仿宋_GB2312;仿宋" w:eastAsia="仿宋_GB2312;仿宋"/>
          <w:color w:val="000000"/>
          <w:sz w:val="28"/>
          <w:szCs w:val="28"/>
        </w:rPr>
        <w:t>完成《社区教育特色项目工作室建设考核评估细则》里乙方的任务；</w:t>
      </w:r>
    </w:p>
    <w:p w14:paraId="4614F1E1">
      <w:pPr>
        <w:spacing w:line="520" w:lineRule="exact"/>
        <w:ind w:firstLine="562"/>
        <w:rPr>
          <w:rFonts w:ascii="仿宋_GB2312;仿宋" w:hAnsi="仿宋_GB2312;仿宋" w:eastAsia="仿宋_GB2312;仿宋" w:cs="宋体"/>
          <w:b/>
          <w:color w:val="000000"/>
          <w:sz w:val="28"/>
          <w:szCs w:val="28"/>
        </w:rPr>
      </w:pPr>
      <w:r>
        <w:rPr>
          <w:rFonts w:ascii="仿宋_GB2312;仿宋" w:hAnsi="仿宋_GB2312;仿宋" w:eastAsia="仿宋_GB2312;仿宋" w:cs="宋体"/>
          <w:b/>
          <w:color w:val="000000"/>
          <w:sz w:val="28"/>
          <w:szCs w:val="28"/>
        </w:rPr>
        <w:t>第三条</w:t>
      </w:r>
      <w:r>
        <w:rPr>
          <w:rFonts w:ascii="仿宋_GB2312;仿宋" w:hAnsi="仿宋_GB2312;仿宋" w:eastAsia="仿宋_GB2312;仿宋"/>
          <w:b/>
          <w:bCs/>
          <w:color w:val="000000"/>
          <w:sz w:val="28"/>
          <w:szCs w:val="28"/>
        </w:rPr>
        <w:t xml:space="preserve">  </w:t>
      </w:r>
      <w:r>
        <w:rPr>
          <w:rFonts w:ascii="仿宋_GB2312;仿宋" w:hAnsi="仿宋_GB2312;仿宋" w:eastAsia="仿宋_GB2312;仿宋" w:cs="宋体"/>
          <w:b/>
          <w:color w:val="000000"/>
          <w:sz w:val="28"/>
          <w:szCs w:val="28"/>
        </w:rPr>
        <w:t>协议的中止</w:t>
      </w:r>
    </w:p>
    <w:p w14:paraId="692BEFA2">
      <w:pPr>
        <w:spacing w:line="520" w:lineRule="exact"/>
        <w:ind w:firstLine="560"/>
        <w:jc w:val="left"/>
        <w:rPr>
          <w:rFonts w:ascii="仿宋_GB2312;仿宋" w:hAnsi="仿宋_GB2312;仿宋" w:eastAsia="仿宋_GB2312;仿宋" w:cs="宋体"/>
          <w:color w:val="000000"/>
          <w:sz w:val="28"/>
          <w:szCs w:val="28"/>
        </w:rPr>
      </w:pPr>
      <w:r>
        <w:rPr>
          <w:rFonts w:ascii="仿宋_GB2312;仿宋" w:hAnsi="仿宋_GB2312;仿宋" w:eastAsia="仿宋_GB2312;仿宋" w:cs="宋体"/>
          <w:color w:val="000000"/>
          <w:sz w:val="28"/>
          <w:szCs w:val="28"/>
        </w:rPr>
        <w:t>在协议执行期间，乙方需中止本协议，必须提出书面报告，陈述理由，并经甲方批准方可中止协议；甲方对乙方实行年度自评、第二年度阶段性考核和第三年度结项终结性考核相结合的考核机制。考核不合格的处理及经费拨付、结项认定等，按《社区教育特色项目工作室建设方案》执行。涉及领衔人变更、建设目标或内容调整、建设期限变化、经费预算变更等重大事项的，乙方应提出书面报告报甲方审批。</w:t>
      </w:r>
    </w:p>
    <w:p w14:paraId="49D517BB">
      <w:pPr>
        <w:spacing w:line="520" w:lineRule="exact"/>
        <w:ind w:firstLine="562"/>
        <w:rPr>
          <w:rFonts w:ascii="仿宋_GB2312;仿宋" w:hAnsi="仿宋_GB2312;仿宋" w:eastAsia="仿宋_GB2312;仿宋" w:cs="宋体"/>
          <w:b/>
          <w:color w:val="000000"/>
          <w:sz w:val="28"/>
          <w:szCs w:val="28"/>
        </w:rPr>
      </w:pPr>
      <w:r>
        <w:rPr>
          <w:rFonts w:ascii="仿宋_GB2312;仿宋" w:hAnsi="仿宋_GB2312;仿宋" w:eastAsia="仿宋_GB2312;仿宋" w:cs="宋体"/>
          <w:b/>
          <w:color w:val="000000"/>
          <w:sz w:val="28"/>
          <w:szCs w:val="28"/>
        </w:rPr>
        <w:t>第四条</w:t>
      </w:r>
      <w:r>
        <w:rPr>
          <w:rFonts w:ascii="仿宋_GB2312;仿宋" w:hAnsi="仿宋_GB2312;仿宋" w:eastAsia="仿宋_GB2312;仿宋"/>
          <w:b/>
          <w:bCs/>
          <w:color w:val="000000"/>
          <w:sz w:val="28"/>
          <w:szCs w:val="28"/>
        </w:rPr>
        <w:t xml:space="preserve">  </w:t>
      </w:r>
      <w:r>
        <w:rPr>
          <w:rFonts w:ascii="仿宋_GB2312;仿宋" w:hAnsi="仿宋_GB2312;仿宋" w:eastAsia="仿宋_GB2312;仿宋" w:cs="宋体"/>
          <w:b/>
          <w:color w:val="000000"/>
          <w:sz w:val="28"/>
          <w:szCs w:val="28"/>
        </w:rPr>
        <w:t>附则</w:t>
      </w:r>
      <w:bookmarkStart w:id="0" w:name="_GoBack"/>
      <w:bookmarkEnd w:id="0"/>
    </w:p>
    <w:p w14:paraId="41B71FE3">
      <w:pPr>
        <w:spacing w:line="520" w:lineRule="exact"/>
        <w:ind w:firstLine="560"/>
        <w:rPr>
          <w:rFonts w:ascii="仿宋_GB2312;仿宋" w:hAnsi="仿宋_GB2312;仿宋" w:eastAsia="仿宋_GB2312;仿宋" w:cs="宋体"/>
          <w:color w:val="000000"/>
          <w:sz w:val="28"/>
          <w:szCs w:val="28"/>
        </w:rPr>
      </w:pPr>
      <w:r>
        <w:rPr>
          <w:rFonts w:ascii="仿宋_GB2312;仿宋" w:hAnsi="仿宋_GB2312;仿宋" w:eastAsia="仿宋_GB2312;仿宋" w:cs="宋体"/>
          <w:color w:val="000000"/>
          <w:sz w:val="28"/>
          <w:szCs w:val="28"/>
        </w:rPr>
        <w:t>1.本协议一式二份, 甲乙各执一份。</w:t>
      </w:r>
    </w:p>
    <w:p w14:paraId="740874BD">
      <w:pPr>
        <w:spacing w:line="520" w:lineRule="exact"/>
        <w:ind w:firstLine="560"/>
        <w:rPr>
          <w:rFonts w:ascii="仿宋_GB2312;仿宋" w:hAnsi="仿宋_GB2312;仿宋" w:eastAsia="仿宋_GB2312;仿宋" w:cs="宋体"/>
          <w:color w:val="000000"/>
          <w:sz w:val="28"/>
          <w:szCs w:val="28"/>
        </w:rPr>
      </w:pPr>
      <w:r>
        <w:rPr>
          <w:rFonts w:ascii="仿宋_GB2312;仿宋" w:hAnsi="仿宋_GB2312;仿宋" w:eastAsia="仿宋_GB2312;仿宋" w:cs="宋体"/>
          <w:color w:val="000000"/>
          <w:sz w:val="28"/>
          <w:szCs w:val="28"/>
        </w:rPr>
        <w:t>2.本协议经甲乙双方签字盖章后生效。</w:t>
      </w:r>
    </w:p>
    <w:p w14:paraId="272C3793">
      <w:pPr>
        <w:spacing w:line="520" w:lineRule="exact"/>
        <w:ind w:firstLine="560"/>
        <w:rPr>
          <w:rFonts w:ascii="仿宋_GB2312;仿宋" w:hAnsi="仿宋_GB2312;仿宋" w:eastAsia="仿宋_GB2312;仿宋" w:cs="宋体"/>
          <w:color w:val="000000"/>
          <w:sz w:val="28"/>
          <w:szCs w:val="28"/>
        </w:rPr>
      </w:pPr>
      <w:r>
        <w:rPr>
          <w:rFonts w:ascii="仿宋_GB2312;仿宋" w:hAnsi="仿宋_GB2312;仿宋" w:eastAsia="仿宋_GB2312;仿宋" w:cs="仿宋_GB2312;仿宋"/>
          <w:color w:val="000000"/>
          <w:sz w:val="28"/>
          <w:szCs w:val="28"/>
        </w:rPr>
        <w:t xml:space="preserve"> </w:t>
      </w:r>
    </w:p>
    <w:p w14:paraId="6973729F">
      <w:pPr>
        <w:spacing w:line="520" w:lineRule="exact"/>
        <w:ind w:firstLine="562"/>
        <w:rPr>
          <w:rFonts w:ascii="仿宋_GB2312;仿宋" w:hAnsi="仿宋_GB2312;仿宋" w:eastAsia="仿宋_GB2312;仿宋" w:cs="宋体"/>
          <w:b/>
          <w:bCs/>
          <w:color w:val="000000"/>
          <w:sz w:val="28"/>
          <w:szCs w:val="28"/>
          <w:u w:val="single"/>
        </w:rPr>
      </w:pPr>
      <w:r>
        <w:rPr>
          <w:rFonts w:ascii="仿宋_GB2312;仿宋" w:hAnsi="仿宋_GB2312;仿宋" w:eastAsia="仿宋_GB2312;仿宋" w:cs="宋体"/>
          <w:b/>
          <w:bCs/>
          <w:color w:val="000000"/>
          <w:sz w:val="28"/>
          <w:szCs w:val="28"/>
        </w:rPr>
        <w:t>甲方（盖章）</w:t>
      </w:r>
      <w:r>
        <w:rPr>
          <w:rFonts w:ascii="仿宋_GB2312;仿宋" w:hAnsi="仿宋_GB2312;仿宋" w:eastAsia="仿宋_GB2312;仿宋" w:cs="宋体"/>
          <w:b/>
          <w:bCs/>
          <w:color w:val="000000"/>
          <w:sz w:val="28"/>
          <w:szCs w:val="28"/>
          <w:u w:val="single"/>
        </w:rPr>
        <w:t xml:space="preserve">      </w:t>
      </w:r>
      <w:r>
        <w:rPr>
          <w:rFonts w:ascii="仿宋_GB2312;仿宋" w:hAnsi="仿宋_GB2312;仿宋" w:eastAsia="仿宋_GB2312;仿宋" w:cs="宋体"/>
          <w:b/>
          <w:bCs/>
          <w:color w:val="000000"/>
          <w:sz w:val="28"/>
          <w:szCs w:val="28"/>
          <w:u w:val="single"/>
          <w:lang w:val="en-US" w:eastAsia="zh-CN"/>
        </w:rPr>
        <w:t xml:space="preserve">    </w:t>
      </w:r>
      <w:r>
        <w:rPr>
          <w:rFonts w:ascii="仿宋_GB2312;仿宋" w:hAnsi="仿宋_GB2312;仿宋" w:eastAsia="仿宋_GB2312;仿宋" w:cs="宋体"/>
          <w:b/>
          <w:bCs/>
          <w:color w:val="000000"/>
          <w:sz w:val="28"/>
          <w:szCs w:val="28"/>
          <w:u w:val="single"/>
        </w:rPr>
        <w:t xml:space="preserve">  </w:t>
      </w:r>
      <w:r>
        <w:rPr>
          <w:rFonts w:ascii="仿宋_GB2312;仿宋" w:hAnsi="仿宋_GB2312;仿宋" w:eastAsia="仿宋_GB2312;仿宋" w:cs="宋体"/>
          <w:b/>
          <w:bCs/>
          <w:color w:val="000000"/>
          <w:sz w:val="28"/>
          <w:szCs w:val="28"/>
        </w:rPr>
        <w:t>乙方（领衔人签名）</w:t>
      </w:r>
      <w:r>
        <w:rPr>
          <w:rFonts w:ascii="仿宋_GB2312;仿宋" w:hAnsi="仿宋_GB2312;仿宋" w:eastAsia="仿宋_GB2312;仿宋" w:cs="宋体"/>
          <w:b/>
          <w:bCs/>
          <w:color w:val="000000"/>
          <w:sz w:val="28"/>
          <w:szCs w:val="28"/>
          <w:u w:val="single"/>
        </w:rPr>
        <w:t xml:space="preserve">         </w:t>
      </w:r>
      <w:r>
        <w:rPr>
          <w:rFonts w:ascii="仿宋_GB2312;仿宋" w:hAnsi="仿宋_GB2312;仿宋" w:eastAsia="仿宋_GB2312;仿宋" w:cs="宋体"/>
          <w:b/>
          <w:bCs/>
          <w:color w:val="000000"/>
          <w:sz w:val="28"/>
          <w:szCs w:val="28"/>
          <w:u w:val="single"/>
          <w:lang w:val="en-US" w:eastAsia="zh-CN"/>
        </w:rPr>
        <w:t xml:space="preserve"> </w:t>
      </w:r>
      <w:r>
        <w:rPr>
          <w:rFonts w:ascii="仿宋_GB2312;仿宋" w:hAnsi="仿宋_GB2312;仿宋" w:eastAsia="仿宋_GB2312;仿宋" w:cs="宋体"/>
          <w:b/>
          <w:bCs/>
          <w:color w:val="000000"/>
          <w:sz w:val="28"/>
          <w:szCs w:val="28"/>
          <w:u w:val="single"/>
        </w:rPr>
        <w:t xml:space="preserve">   </w:t>
      </w:r>
    </w:p>
    <w:p w14:paraId="387D6DE7">
      <w:pPr>
        <w:spacing w:line="520" w:lineRule="exact"/>
        <w:ind w:firstLine="562"/>
        <w:rPr>
          <w:rFonts w:ascii="仿宋_GB2312;仿宋" w:hAnsi="仿宋_GB2312;仿宋" w:eastAsia="仿宋_GB2312;仿宋" w:cs="宋体"/>
          <w:b/>
          <w:bCs/>
          <w:color w:val="000000"/>
          <w:sz w:val="28"/>
          <w:szCs w:val="28"/>
          <w:u w:val="single"/>
        </w:rPr>
      </w:pPr>
    </w:p>
    <w:p w14:paraId="5242BA00">
      <w:pPr>
        <w:spacing w:line="520" w:lineRule="exact"/>
        <w:ind w:firstLine="1394"/>
      </w:pPr>
      <w:r>
        <w:rPr>
          <w:rFonts w:ascii="仿宋_GB2312;仿宋" w:hAnsi="仿宋_GB2312;仿宋" w:eastAsia="仿宋_GB2312;仿宋" w:cs="宋体"/>
          <w:b/>
          <w:bCs/>
          <w:color w:val="000000"/>
          <w:sz w:val="28"/>
          <w:szCs w:val="28"/>
        </w:rPr>
        <w:t>年     月     日                  年     月     日</w:t>
      </w:r>
      <w:r>
        <w:rPr>
          <w:rFonts w:ascii="仿宋_GB2312;仿宋" w:hAnsi="仿宋_GB2312;仿宋" w:eastAsia="仿宋_GB2312;仿宋"/>
          <w:color w:val="000000"/>
          <w:sz w:val="28"/>
          <w:szCs w:val="28"/>
        </w:rPr>
        <w:t xml:space="preserve"> </w:t>
      </w:r>
    </w:p>
    <w:sectPr>
      <w:headerReference r:id="rId3" w:type="default"/>
      <w:footerReference r:id="rId4" w:type="default"/>
      <w:pgSz w:w="11906" w:h="16838"/>
      <w:pgMar w:top="1701" w:right="1531" w:bottom="1701" w:left="1531" w:header="851" w:footer="992" w:gutter="0"/>
      <w:pgNumType w:fmt="decimal" w:start="44"/>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iberation Serif">
    <w:altName w:val="Times New Roman"/>
    <w:panose1 w:val="00000000000000000000"/>
    <w:charset w:val="01"/>
    <w:family w:val="roman"/>
    <w:pitch w:val="default"/>
    <w:sig w:usb0="00000000" w:usb1="00000000" w:usb2="00000000" w:usb3="00000000" w:csb0="00000000" w:csb1="00000000"/>
  </w:font>
  <w:font w:name="Noto Serif CJK SC">
    <w:altName w:val="宋体"/>
    <w:panose1 w:val="00000000000000000000"/>
    <w:charset w:val="86"/>
    <w:family w:val="auto"/>
    <w:pitch w:val="default"/>
    <w:sig w:usb0="00000000" w:usb1="00000000" w:usb2="00000000" w:usb3="00000000" w:csb0="00000000"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仿宋_GB2312;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F1F01">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69329">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2"/>
      <w:numFmt w:val="chineseCountingThousand"/>
      <w:lvlText w:val="第%1条"/>
      <w:lvlJc w:val="left"/>
      <w:pPr>
        <w:tabs>
          <w:tab w:val="left" w:pos="0"/>
        </w:tabs>
        <w:ind w:left="1125" w:hanging="1125"/>
      </w:pPr>
      <w:rPr>
        <w:rFonts w:ascii="宋体" w:hAnsi="宋体" w:cs="宋体"/>
      </w:rPr>
    </w:lvl>
    <w:lvl w:ilvl="1" w:tentative="0">
      <w:start w:val="1"/>
      <w:numFmt w:val="taiwaneseCountingThousand"/>
      <w:lvlText w:val="第%2款"/>
      <w:lvlJc w:val="left"/>
      <w:pPr>
        <w:tabs>
          <w:tab w:val="left" w:pos="0"/>
        </w:tabs>
        <w:ind w:left="1545" w:hanging="1125"/>
      </w:pPr>
    </w:lvl>
    <w:lvl w:ilvl="2" w:tentative="0">
      <w:start w:val="1"/>
      <w:numFmt w:val="taiwaneseCountingThousand"/>
      <w:lvlText w:val="第%3项"/>
      <w:lvlJc w:val="left"/>
      <w:pPr>
        <w:tabs>
          <w:tab w:val="left" w:pos="0"/>
        </w:tabs>
        <w:ind w:left="1560" w:hanging="720"/>
      </w:pPr>
    </w:lvl>
    <w:lvl w:ilvl="3" w:tentative="0">
      <w:start w:val="1"/>
      <w:numFmt w:val="decimal"/>
      <w:lvlText w:val="%4."/>
      <w:lvlJc w:val="left"/>
      <w:pPr>
        <w:tabs>
          <w:tab w:val="left" w:pos="0"/>
        </w:tabs>
        <w:ind w:left="2880" w:hanging="360"/>
      </w:pPr>
    </w:lvl>
    <w:lvl w:ilvl="4" w:tentative="0">
      <w:start w:val="1"/>
      <w:numFmt w:val="decimal"/>
      <w:lvlText w:val="%5."/>
      <w:lvlJc w:val="left"/>
      <w:pPr>
        <w:tabs>
          <w:tab w:val="left" w:pos="0"/>
        </w:tabs>
        <w:ind w:left="3600" w:hanging="360"/>
      </w:pPr>
    </w:lvl>
    <w:lvl w:ilvl="5" w:tentative="0">
      <w:start w:val="1"/>
      <w:numFmt w:val="decimal"/>
      <w:lvlText w:val="%6."/>
      <w:lvlJc w:val="left"/>
      <w:pPr>
        <w:tabs>
          <w:tab w:val="left" w:pos="0"/>
        </w:tabs>
        <w:ind w:left="4320" w:hanging="360"/>
      </w:pPr>
    </w:lvl>
    <w:lvl w:ilvl="6" w:tentative="0">
      <w:start w:val="1"/>
      <w:numFmt w:val="decimal"/>
      <w:lvlText w:val="%7."/>
      <w:lvlJc w:val="left"/>
      <w:pPr>
        <w:tabs>
          <w:tab w:val="left" w:pos="0"/>
        </w:tabs>
        <w:ind w:left="5040" w:hanging="360"/>
      </w:pPr>
    </w:lvl>
    <w:lvl w:ilvl="7" w:tentative="0">
      <w:start w:val="1"/>
      <w:numFmt w:val="decimal"/>
      <w:lvlText w:val="%8."/>
      <w:lvlJc w:val="left"/>
      <w:pPr>
        <w:tabs>
          <w:tab w:val="left" w:pos="0"/>
        </w:tabs>
        <w:ind w:left="5760" w:hanging="360"/>
      </w:pPr>
    </w:lvl>
    <w:lvl w:ilvl="8" w:tentative="0">
      <w:start w:val="1"/>
      <w:numFmt w:val="decimal"/>
      <w:lvlText w:val="%9."/>
      <w:lvlJc w:val="left"/>
      <w:pPr>
        <w:tabs>
          <w:tab w:val="left" w:pos="0"/>
        </w:tabs>
        <w:ind w:left="6480" w:hanging="360"/>
      </w:pPr>
    </w:lvl>
  </w:abstractNum>
  <w:num w:numId="1">
    <w:abstractNumId w:val="0"/>
    <w:lvlOverride w:ilvl="1">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Footer w:val="1"/>
  <w:documentProtection w:enforcement="0"/>
  <w:defaultTabStop w:val="420"/>
  <w:autoHyphenation/>
  <w:compat>
    <w:noLeading/>
    <w:doNotExpandShiftReturn/>
    <w:useFELayout/>
    <w:compatSetting w:name="compatibilityMode" w:uri="http://schemas.microsoft.com/office/word" w:val="14"/>
  </w:compat>
  <w:rsids>
    <w:rsidRoot w:val="56652B55"/>
    <w:rsid w:val="0F101A2B"/>
    <w:rsid w:val="277B232A"/>
    <w:rsid w:val="56652B55"/>
    <w:rsid w:val="6A025086"/>
    <w:rsid w:val="715F6E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Noto Sans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caption"/>
    <w:basedOn w:val="1"/>
    <w:qFormat/>
    <w:uiPriority w:val="0"/>
    <w:pPr>
      <w:suppressLineNumbers/>
      <w:spacing w:before="120" w:after="120"/>
    </w:pPr>
    <w:rPr>
      <w:rFonts w:cs="Noto Sans Devanagari"/>
      <w:i/>
      <w:iCs/>
      <w:sz w:val="24"/>
      <w:szCs w:val="24"/>
    </w:rPr>
  </w:style>
  <w:style w:type="paragraph" w:styleId="3">
    <w:name w:val="Body Text"/>
    <w:basedOn w:val="1"/>
    <w:qFormat/>
    <w:uiPriority w:val="0"/>
    <w:pPr>
      <w:spacing w:before="0" w:after="140" w:line="276" w:lineRule="auto"/>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6">
    <w:name w:val="List"/>
    <w:basedOn w:val="3"/>
    <w:qFormat/>
    <w:uiPriority w:val="0"/>
    <w:rPr>
      <w:rFonts w:cs="Noto Sans Devanagari"/>
    </w:rPr>
  </w:style>
  <w:style w:type="character" w:styleId="9">
    <w:name w:val="page number"/>
    <w:basedOn w:val="10"/>
    <w:qFormat/>
    <w:uiPriority w:val="0"/>
  </w:style>
  <w:style w:type="character" w:customStyle="1" w:styleId="10">
    <w:name w:val="默认段落字体1"/>
    <w:qFormat/>
    <w:uiPriority w:val="0"/>
  </w:style>
  <w:style w:type="character" w:customStyle="1" w:styleId="11">
    <w:name w:val="WW8Num1z0"/>
    <w:qFormat/>
    <w:uiPriority w:val="0"/>
    <w:rPr>
      <w:rFonts w:ascii="宋体" w:hAnsi="宋体" w:cs="宋体"/>
    </w:rPr>
  </w:style>
  <w:style w:type="paragraph" w:customStyle="1" w:styleId="12">
    <w:name w:val="Heading"/>
    <w:basedOn w:val="1"/>
    <w:next w:val="3"/>
    <w:qFormat/>
    <w:uiPriority w:val="0"/>
    <w:pPr>
      <w:keepNext/>
      <w:spacing w:before="240" w:after="120"/>
    </w:pPr>
    <w:rPr>
      <w:rFonts w:ascii="Liberation Sans" w:hAnsi="Liberation Sans" w:eastAsia="Noto Sans CJK SC" w:cs="Noto Sans Devanagari"/>
      <w:sz w:val="28"/>
      <w:szCs w:val="28"/>
    </w:rPr>
  </w:style>
  <w:style w:type="paragraph" w:customStyle="1" w:styleId="13">
    <w:name w:val="Index"/>
    <w:basedOn w:val="1"/>
    <w:qFormat/>
    <w:uiPriority w:val="0"/>
    <w:pPr>
      <w:suppressLineNumbers/>
    </w:pPr>
    <w:rPr>
      <w:rFonts w:cs="Noto Sans Devanagari"/>
    </w:rPr>
  </w:style>
  <w:style w:type="paragraph" w:customStyle="1" w:styleId="14">
    <w:name w:val="Header and Footer"/>
    <w:basedOn w:val="1"/>
    <w:qFormat/>
    <w:uiPriority w:val="0"/>
    <w:pPr>
      <w:suppressLineNumbers/>
      <w:tabs>
        <w:tab w:val="center" w:pos="4819"/>
        <w:tab w:val="right" w:pos="9638"/>
      </w:tabs>
    </w:pPr>
  </w:style>
  <w:style w:type="paragraph" w:customStyle="1" w:styleId="15">
    <w:name w:val="普通(网站)1"/>
    <w:basedOn w:val="1"/>
    <w:qFormat/>
    <w:uiPriority w:val="0"/>
    <w:pPr>
      <w:widowControl/>
      <w:spacing w:before="100" w:after="100"/>
      <w:jc w:val="left"/>
    </w:pPr>
    <w:rPr>
      <w:rFonts w:ascii="宋体" w:hAnsi="宋体" w:cs="宋体"/>
      <w:kern w:val="0"/>
      <w:sz w:val="24"/>
    </w:rPr>
  </w:style>
  <w:style w:type="paragraph" w:customStyle="1" w:styleId="16">
    <w:name w:val="Table Contents"/>
    <w:basedOn w:val="1"/>
    <w:qFormat/>
    <w:uiPriority w:val="0"/>
    <w:pPr>
      <w:widowControl w:val="0"/>
      <w:suppressLineNumbers/>
    </w:pPr>
  </w:style>
  <w:style w:type="paragraph" w:customStyle="1" w:styleId="17">
    <w:name w:val="Table Heading"/>
    <w:basedOn w:val="16"/>
    <w:qFormat/>
    <w:uiPriority w:val="0"/>
    <w:pPr>
      <w:suppressLineNumbers/>
      <w:jc w:val="center"/>
    </w:pPr>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1043</Words>
  <Characters>1045</Characters>
  <TotalTime>6</TotalTime>
  <ScaleCrop>false</ScaleCrop>
  <LinksUpToDate>false</LinksUpToDate>
  <CharactersWithSpaces>1558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2009-02-02T17:04:00Z</dcterms:created>
  <dc:creator>吴洁</dc:creator>
  <cp:lastModifiedBy>hellen</cp:lastModifiedBy>
  <dcterms:modified xsi:type="dcterms:W3CDTF">2026-09-20T08:15:40Z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72BF2E0316C74EAFAC383C24DA43812B</vt:lpwstr>
  </property>
  <property fmtid="{D5CDD505-2E9C-101B-9397-08002B2CF9AE}" pid="3" name="KSOProductBuildVer">
    <vt:lpwstr>2052-12.1.0.28505</vt:lpwstr>
  </property>
  <property fmtid="{D5CDD505-2E9C-101B-9397-08002B2CF9AE}" pid="4" name="KSOTemplateDocerSaveRecord">
    <vt:lpwstr>eyJoZGlkIjoiODZhMDRiNjIyYjNmYTMxNzZkNjFiZDA1YjllMzZkZWEiLCJ1c2VySWQiOiI0NDcyODE5MjkifQ==</vt:lpwstr>
  </property>
  <property fmtid="{D5CDD505-2E9C-101B-9397-08002B2CF9AE}" pid="5" name="commondata">
    <vt:lpwstr>commondata</vt:lpwstr>
  </property>
  <property fmtid="{D5CDD505-2E9C-101B-9397-08002B2CF9AE}" pid="6" name="AIGC">
    <vt:lpwstr>{"Label":"1","ContentProducer":"001191110102MACQD9K64018705","ProduceID":"2701974335929723_0/project_7659084039348830527-files/附件4：社区教育特色项目工作室领衔人项目建设协议书（修订稿）.docx","ReservedCode1":"","ContentPropagator":"001191110102MACQD9K64028705","PropagateID":"2701974335929723#1789458466878","ReservedCode2":""}</vt:lpwstr>
  </property>
</Properties>
</file>