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D2D74" w14:textId="77777777" w:rsidR="000B27CE" w:rsidRDefault="00487D13">
      <w:pPr>
        <w:spacing w:line="560" w:lineRule="exact"/>
      </w:pPr>
      <w:r>
        <w:t>附件</w:t>
      </w:r>
      <w:r>
        <w:t>1</w:t>
      </w:r>
    </w:p>
    <w:p w14:paraId="196283B0" w14:textId="77777777" w:rsidR="000B27CE" w:rsidRDefault="00487D13">
      <w:pPr>
        <w:spacing w:before="240" w:after="360" w:line="600" w:lineRule="exact"/>
        <w:jc w:val="center"/>
      </w:pPr>
      <w:r>
        <w:rPr>
          <w:rFonts w:eastAsia="宋体"/>
          <w:b/>
          <w:bCs/>
          <w:sz w:val="44"/>
          <w:szCs w:val="44"/>
        </w:rPr>
        <w:t>社区教育特色项目工作室建设方案</w:t>
      </w:r>
    </w:p>
    <w:p w14:paraId="5687662D" w14:textId="77777777" w:rsidR="000B27CE" w:rsidRDefault="00487D13">
      <w:pPr>
        <w:spacing w:line="560" w:lineRule="exact"/>
        <w:ind w:firstLine="640"/>
      </w:pPr>
      <w:r>
        <w:rPr>
          <w:rFonts w:eastAsia="黑体"/>
        </w:rPr>
        <w:t>一、指导思想</w:t>
      </w:r>
    </w:p>
    <w:p w14:paraId="1CE55E20" w14:textId="77777777" w:rsidR="000B27CE" w:rsidRDefault="00487D13">
      <w:pPr>
        <w:spacing w:line="560" w:lineRule="exact"/>
        <w:ind w:firstLine="640"/>
      </w:pPr>
      <w:r>
        <w:t>认真贯彻落实中共中央、中国国务院《中国教育现代化</w:t>
      </w:r>
      <w:r>
        <w:t>2035</w:t>
      </w:r>
      <w:r>
        <w:t>》、教育部等</w:t>
      </w:r>
      <w:proofErr w:type="gramStart"/>
      <w:r>
        <w:t>九部门</w:t>
      </w:r>
      <w:proofErr w:type="gramEnd"/>
      <w:r>
        <w:t>《关于进一步推进社区教育发展的意见》精神，充分发挥社区教育特色项目的示范、引领和辐射作用，建立社区教育发展的长效机制，打造社区教育特色品牌。</w:t>
      </w:r>
    </w:p>
    <w:p w14:paraId="505C82A7" w14:textId="77777777" w:rsidR="000B27CE" w:rsidRDefault="00487D13">
      <w:pPr>
        <w:spacing w:line="560" w:lineRule="exact"/>
        <w:ind w:firstLine="640"/>
      </w:pPr>
      <w:r>
        <w:rPr>
          <w:rFonts w:eastAsia="黑体"/>
        </w:rPr>
        <w:t>二、建设目标</w:t>
      </w:r>
    </w:p>
    <w:p w14:paraId="51D8D6F6" w14:textId="77777777" w:rsidR="000B27CE" w:rsidRDefault="00487D13">
      <w:pPr>
        <w:spacing w:line="560" w:lineRule="exact"/>
        <w:ind w:firstLine="640"/>
      </w:pPr>
      <w:r>
        <w:t>社区教育特色项目工作室的建设周期为三年。通过特色项目工作室的建设，创新社区教育发展平台与机制，培养优秀社区教育师资团队，加强社区教育资源的整合与开发，促进常州市社区教育深入内涵发展。重点任务是建设社区教育师资团队、培育社区教育骨干教师。</w:t>
      </w:r>
    </w:p>
    <w:p w14:paraId="77F432DE" w14:textId="77777777" w:rsidR="000B27CE" w:rsidRDefault="00487D13">
      <w:pPr>
        <w:spacing w:line="560" w:lineRule="exact"/>
        <w:ind w:firstLine="640"/>
      </w:pPr>
      <w:r>
        <w:rPr>
          <w:rFonts w:eastAsia="黑体"/>
        </w:rPr>
        <w:t>三、基本条件</w:t>
      </w:r>
    </w:p>
    <w:p w14:paraId="1AF601F2" w14:textId="77777777" w:rsidR="000B27CE" w:rsidRDefault="00487D13">
      <w:pPr>
        <w:spacing w:line="560" w:lineRule="exact"/>
        <w:ind w:firstLine="640"/>
      </w:pPr>
      <w:r>
        <w:t>1.</w:t>
      </w:r>
      <w:r>
        <w:t>社区教育特色项目工作室由工作室领衔人（</w:t>
      </w:r>
      <w:r>
        <w:t>1</w:t>
      </w:r>
      <w:r>
        <w:t>人）和工作室成员（</w:t>
      </w:r>
      <w:r>
        <w:t>5—10</w:t>
      </w:r>
      <w:r>
        <w:t>人）组成。</w:t>
      </w:r>
    </w:p>
    <w:p w14:paraId="4C56CF8A" w14:textId="77777777" w:rsidR="000B27CE" w:rsidRDefault="00487D13">
      <w:pPr>
        <w:spacing w:line="560" w:lineRule="exact"/>
        <w:ind w:firstLine="640"/>
      </w:pPr>
      <w:r>
        <w:t>2.</w:t>
      </w:r>
      <w:r>
        <w:t>社区教育特色项目工作室领衔人条件：</w:t>
      </w:r>
    </w:p>
    <w:p w14:paraId="519819C3" w14:textId="77777777" w:rsidR="000B27CE" w:rsidRDefault="00487D13">
      <w:pPr>
        <w:spacing w:line="560" w:lineRule="exact"/>
        <w:ind w:firstLine="640"/>
      </w:pPr>
      <w:r>
        <w:t>（</w:t>
      </w:r>
      <w:r>
        <w:t>1</w:t>
      </w:r>
      <w:r>
        <w:t>）能够正确认识终身教育、社区教育的理念，热爱社区教育事业，具备高尚的师德和端正的教学态度。</w:t>
      </w:r>
    </w:p>
    <w:p w14:paraId="769BEDAB" w14:textId="77777777" w:rsidR="000B27CE" w:rsidRDefault="00487D13">
      <w:pPr>
        <w:spacing w:line="560" w:lineRule="exact"/>
        <w:ind w:firstLine="640"/>
      </w:pPr>
      <w:r>
        <w:t>（</w:t>
      </w:r>
      <w:r>
        <w:t>2</w:t>
      </w:r>
      <w:r>
        <w:t>）具备一定的社区教育理论知识，能够把握社区教育教学的要求，理解社区教育的特殊性和规律性。</w:t>
      </w:r>
    </w:p>
    <w:p w14:paraId="1A467F6D" w14:textId="77777777" w:rsidR="000B27CE" w:rsidRDefault="00487D13">
      <w:pPr>
        <w:spacing w:line="560" w:lineRule="exact"/>
        <w:ind w:firstLine="640"/>
      </w:pPr>
      <w:r>
        <w:t>（</w:t>
      </w:r>
      <w:r>
        <w:t>3</w:t>
      </w:r>
      <w:r>
        <w:t>）积极承担过社区教育的课程开发、项目活动、教学实践、教研科研，具有比较丰富的社区教育实践活动经验，参与一</w:t>
      </w:r>
      <w:r>
        <w:lastRenderedPageBreak/>
        <w:t>线社区教育工作或者活动至少有三年经历，有一定的社区教育工作实绩。</w:t>
      </w:r>
    </w:p>
    <w:p w14:paraId="440AB0BE" w14:textId="77777777" w:rsidR="000B27CE" w:rsidRDefault="00487D13">
      <w:pPr>
        <w:spacing w:line="560" w:lineRule="exact"/>
        <w:ind w:firstLine="640"/>
      </w:pPr>
      <w:r>
        <w:t>（</w:t>
      </w:r>
      <w:r>
        <w:t>4</w:t>
      </w:r>
      <w:r>
        <w:t>）具有中级及以上职称，在某一领域有特长，并能成功应用于社区教育中，在区域社区教育中具有一定的知名度和影响力，受到社区居民的欢迎和喜爱。</w:t>
      </w:r>
    </w:p>
    <w:p w14:paraId="127EF56E" w14:textId="77777777" w:rsidR="000B27CE" w:rsidRDefault="00487D13">
      <w:pPr>
        <w:spacing w:line="560" w:lineRule="exact"/>
        <w:ind w:firstLine="640"/>
      </w:pPr>
      <w:r>
        <w:t>3.</w:t>
      </w:r>
      <w:r>
        <w:t>社区教育特色项目工作室成员条件：热心社区教育工作，爱岗敬业，乐于奉献，有一定的社区教育理论基础、教学业务能力、研究实验能力和较好的发展潜质。</w:t>
      </w:r>
    </w:p>
    <w:p w14:paraId="5389A551" w14:textId="77777777" w:rsidR="000B27CE" w:rsidRDefault="00487D13">
      <w:pPr>
        <w:spacing w:line="560" w:lineRule="exact"/>
        <w:ind w:firstLine="640"/>
      </w:pPr>
      <w:r>
        <w:rPr>
          <w:rFonts w:eastAsia="黑体"/>
        </w:rPr>
        <w:t>四、申报评定</w:t>
      </w:r>
    </w:p>
    <w:p w14:paraId="6ED314C4" w14:textId="74ED183C" w:rsidR="000B27CE" w:rsidRDefault="00487D13">
      <w:pPr>
        <w:spacing w:line="560" w:lineRule="exact"/>
        <w:ind w:firstLine="640"/>
      </w:pPr>
      <w:r>
        <w:t>1.</w:t>
      </w:r>
      <w:r>
        <w:t>单位推荐上报。各社区培训学院、社区教育高校联盟单位、本校各部门、各二级学院</w:t>
      </w:r>
      <w:r>
        <w:rPr>
          <w:rFonts w:hint="eastAsia"/>
        </w:rPr>
        <w:t>可</w:t>
      </w:r>
      <w:r>
        <w:t>按照条件各推荐</w:t>
      </w:r>
      <w:r>
        <w:rPr>
          <w:rFonts w:hint="eastAsia"/>
        </w:rPr>
        <w:t>1-2</w:t>
      </w:r>
      <w:r>
        <w:t>个特色项目，明确领衔人，组建团队，填写相关申报材料，并上报常州市社会教育服务指导中心。</w:t>
      </w:r>
    </w:p>
    <w:p w14:paraId="3EC2A749" w14:textId="77777777" w:rsidR="000B27CE" w:rsidRDefault="00487D13">
      <w:pPr>
        <w:spacing w:line="560" w:lineRule="exact"/>
        <w:ind w:firstLine="640"/>
      </w:pPr>
      <w:r>
        <w:t>2.</w:t>
      </w:r>
      <w:r>
        <w:t>组织专家评审。着重评价两方面内容：一是领衔人近三年来在社区教育教学、科研、项目活动等方面的突出业绩，二是社区教育师资团队建设目标与计划。</w:t>
      </w:r>
    </w:p>
    <w:p w14:paraId="5DE19605" w14:textId="77777777" w:rsidR="000B27CE" w:rsidRDefault="00487D13">
      <w:pPr>
        <w:spacing w:line="560" w:lineRule="exact"/>
        <w:ind w:firstLine="640"/>
      </w:pPr>
      <w:r>
        <w:t>3.</w:t>
      </w:r>
      <w:r>
        <w:t>公布评审结果。根据社区教育项目特色，命名为</w:t>
      </w:r>
      <w:r>
        <w:t>“</w:t>
      </w:r>
      <w:r>
        <w:t>社区教育（项目名称）特色项目工作室</w:t>
      </w:r>
      <w:r>
        <w:t>”</w:t>
      </w:r>
      <w:r>
        <w:t>并正式运行。</w:t>
      </w:r>
    </w:p>
    <w:p w14:paraId="28B792E5" w14:textId="77777777" w:rsidR="000B27CE" w:rsidRDefault="00487D13">
      <w:pPr>
        <w:spacing w:line="560" w:lineRule="exact"/>
        <w:ind w:firstLine="640"/>
      </w:pPr>
      <w:r>
        <w:rPr>
          <w:rFonts w:eastAsia="黑体"/>
        </w:rPr>
        <w:t>五、管理考核</w:t>
      </w:r>
    </w:p>
    <w:p w14:paraId="09D630F6" w14:textId="77777777" w:rsidR="000B27CE" w:rsidRDefault="00487D13">
      <w:pPr>
        <w:spacing w:line="560" w:lineRule="exact"/>
        <w:ind w:firstLine="640"/>
      </w:pPr>
      <w:r>
        <w:rPr>
          <w:rFonts w:hint="eastAsia"/>
        </w:rPr>
        <w:t>1.</w:t>
      </w:r>
      <w:r>
        <w:rPr>
          <w:rFonts w:hint="eastAsia"/>
        </w:rPr>
        <w:t>项目建设周期：一般为三年。</w:t>
      </w:r>
    </w:p>
    <w:p w14:paraId="402F0599" w14:textId="27EC3478" w:rsidR="000B27CE" w:rsidRDefault="00487D13">
      <w:pPr>
        <w:spacing w:line="560" w:lineRule="exact"/>
        <w:ind w:firstLine="640"/>
      </w:pPr>
      <w:r>
        <w:rPr>
          <w:rFonts w:hint="eastAsia"/>
        </w:rPr>
        <w:t>2</w:t>
      </w:r>
      <w:r>
        <w:t>.</w:t>
      </w:r>
      <w:r>
        <w:t>日常管理：各单位（部门）要</w:t>
      </w:r>
      <w:r>
        <w:rPr>
          <w:rFonts w:hint="eastAsia"/>
        </w:rPr>
        <w:t>将</w:t>
      </w:r>
      <w:r>
        <w:t>特色项目工作室建设</w:t>
      </w:r>
      <w:r>
        <w:rPr>
          <w:rFonts w:hint="eastAsia"/>
        </w:rPr>
        <w:t>作为</w:t>
      </w:r>
      <w:r>
        <w:t>社区教育教师队伍建设的重要</w:t>
      </w:r>
      <w:r>
        <w:rPr>
          <w:rFonts w:hint="eastAsia"/>
        </w:rPr>
        <w:t>抓手</w:t>
      </w:r>
      <w:r>
        <w:t>，加强特色项目工作室的建设和管理。常州市社会教育服务指导中心具体负责特色项目工作室的日常管理、监督指导、考核评估。</w:t>
      </w:r>
    </w:p>
    <w:p w14:paraId="5942C6AE" w14:textId="6A28A1BE" w:rsidR="000B27CE" w:rsidRDefault="00487D13" w:rsidP="00767AED">
      <w:pPr>
        <w:spacing w:line="560" w:lineRule="exact"/>
        <w:ind w:firstLine="640"/>
      </w:pPr>
      <w:r>
        <w:rPr>
          <w:rFonts w:hint="eastAsia"/>
        </w:rPr>
        <w:lastRenderedPageBreak/>
        <w:t>3</w:t>
      </w:r>
      <w:r>
        <w:t>.</w:t>
      </w:r>
      <w:r>
        <w:t>考核评估：工作室三年建设周期内，实行年度过程性自评、</w:t>
      </w:r>
      <w:r>
        <w:rPr>
          <w:rFonts w:hint="eastAsia"/>
        </w:rPr>
        <w:t>阶段性总结</w:t>
      </w:r>
      <w:r>
        <w:t>与</w:t>
      </w:r>
      <w:proofErr w:type="gramStart"/>
      <w:r>
        <w:rPr>
          <w:rFonts w:hint="eastAsia"/>
        </w:rPr>
        <w:t>结项总结</w:t>
      </w:r>
      <w:proofErr w:type="gramEnd"/>
      <w:r>
        <w:t>相结合的评价机制。工作室每年开展一次自评总结</w:t>
      </w:r>
      <w:r>
        <w:rPr>
          <w:rFonts w:hint="eastAsia"/>
        </w:rPr>
        <w:t>，中期由</w:t>
      </w:r>
      <w:r>
        <w:t>常州市社会教育服务指导中心组织专家进行</w:t>
      </w:r>
      <w:r>
        <w:rPr>
          <w:rFonts w:hint="eastAsia"/>
        </w:rPr>
        <w:t>阶段性总结</w:t>
      </w:r>
      <w:r>
        <w:t>，重点考核各项建设任务实施情况和师资队伍培养进展；</w:t>
      </w:r>
      <w:r>
        <w:rPr>
          <w:rFonts w:hint="eastAsia"/>
        </w:rPr>
        <w:t>三年建设</w:t>
      </w:r>
      <w:r>
        <w:t>期满</w:t>
      </w:r>
      <w:proofErr w:type="gramStart"/>
      <w:r>
        <w:t>进行</w:t>
      </w:r>
      <w:r>
        <w:rPr>
          <w:rFonts w:hint="eastAsia"/>
        </w:rPr>
        <w:t>结项总结</w:t>
      </w:r>
      <w:proofErr w:type="gramEnd"/>
      <w:r>
        <w:t>，全面考核建设目标完成情况和成果成效。</w:t>
      </w:r>
      <w:r>
        <w:rPr>
          <w:rFonts w:hint="eastAsia"/>
        </w:rPr>
        <w:t>（验收标准见附件</w:t>
      </w:r>
      <w:r>
        <w:rPr>
          <w:rFonts w:hint="eastAsia"/>
        </w:rPr>
        <w:t xml:space="preserve">2 </w:t>
      </w:r>
      <w:r>
        <w:rPr>
          <w:rFonts w:hint="eastAsia"/>
        </w:rPr>
        <w:t>《社区教育特色项目工作室建设考核评估细则》）</w:t>
      </w:r>
    </w:p>
    <w:p w14:paraId="719D9505" w14:textId="71774885" w:rsidR="000B27CE" w:rsidRDefault="00487D13">
      <w:pPr>
        <w:spacing w:line="560" w:lineRule="exact"/>
        <w:ind w:firstLine="640"/>
      </w:pPr>
      <w:r>
        <w:t>（</w:t>
      </w:r>
      <w:r>
        <w:t>1</w:t>
      </w:r>
      <w:r>
        <w:t>）考评内容：工作室应制定年度实施方案，并按年度对运行发展情况进行自评总结。</w:t>
      </w:r>
      <w:r>
        <w:rPr>
          <w:rFonts w:hint="eastAsia"/>
        </w:rPr>
        <w:t>阶段性总结</w:t>
      </w:r>
      <w:proofErr w:type="gramStart"/>
      <w:r>
        <w:t>和结项考核</w:t>
      </w:r>
      <w:proofErr w:type="gramEnd"/>
      <w:r>
        <w:t>应对</w:t>
      </w:r>
      <w:proofErr w:type="gramStart"/>
      <w:r>
        <w:t>照建设</w:t>
      </w:r>
      <w:proofErr w:type="gramEnd"/>
      <w:r>
        <w:t>目标及师资队伍建设指标逐项核查，重点考核团队建设、成员培训进修、课程资源开发、</w:t>
      </w:r>
      <w:r>
        <w:rPr>
          <w:rFonts w:hint="eastAsia"/>
        </w:rPr>
        <w:t>送教情况、</w:t>
      </w:r>
      <w:r>
        <w:t>教研科研成果</w:t>
      </w:r>
      <w:r>
        <w:rPr>
          <w:rFonts w:hint="eastAsia"/>
        </w:rPr>
        <w:t>、项目实验</w:t>
      </w:r>
      <w:r>
        <w:t>和辐射服务成效等。</w:t>
      </w:r>
    </w:p>
    <w:p w14:paraId="77FC4331" w14:textId="77777777" w:rsidR="000B27CE" w:rsidRDefault="00487D13">
      <w:pPr>
        <w:spacing w:line="560" w:lineRule="exact"/>
        <w:ind w:firstLine="640"/>
      </w:pPr>
      <w:r>
        <w:t>（</w:t>
      </w:r>
      <w:r>
        <w:rPr>
          <w:rFonts w:hint="eastAsia"/>
        </w:rPr>
        <w:t>2</w:t>
      </w:r>
      <w:r>
        <w:t>）重大事项申报：工作室实行重大事项申报制度。涉及领衔人变更、建设目标或内容调整、建设期限变化、经费预算变更、中止工作室工作等重要事项的，领衔人应提出书面报告，经所在单位审核同意后，报常州市社会教育服务指导中心审批。</w:t>
      </w:r>
    </w:p>
    <w:p w14:paraId="3F6416E9" w14:textId="77777777" w:rsidR="000B27CE" w:rsidRDefault="00487D13">
      <w:pPr>
        <w:spacing w:line="560" w:lineRule="exact"/>
        <w:ind w:firstLine="640"/>
      </w:pPr>
      <w:r>
        <w:t>（</w:t>
      </w:r>
      <w:r>
        <w:rPr>
          <w:rFonts w:hint="eastAsia"/>
        </w:rPr>
        <w:t>3</w:t>
      </w:r>
      <w:r>
        <w:t>）延期：工作室确因客观原因不能在规定期限内完成预期建设成果的，一般允许延期一次，期限不超过一年；延期申请须在原建设周期结束前两个月提出，经批准后纳入下一年度工作室管理范畴。</w:t>
      </w:r>
    </w:p>
    <w:p w14:paraId="6A9B5232" w14:textId="77777777" w:rsidR="000B27CE" w:rsidRDefault="00487D13">
      <w:pPr>
        <w:spacing w:line="560" w:lineRule="exact"/>
        <w:ind w:firstLine="640"/>
      </w:pPr>
      <w:r>
        <w:rPr>
          <w:rFonts w:hint="eastAsia"/>
        </w:rPr>
        <w:t>（</w:t>
      </w:r>
      <w:r>
        <w:rPr>
          <w:rFonts w:hint="eastAsia"/>
        </w:rPr>
        <w:t>4</w:t>
      </w:r>
      <w:r>
        <w:rPr>
          <w:rFonts w:hint="eastAsia"/>
        </w:rPr>
        <w:t>）中止或撤销：对项目执行不力、违反项目管理有关规定或因其他情况</w:t>
      </w:r>
      <w:r>
        <w:rPr>
          <w:rFonts w:hint="eastAsia"/>
        </w:rPr>
        <w:t xml:space="preserve"> </w:t>
      </w:r>
      <w:r>
        <w:rPr>
          <w:rFonts w:hint="eastAsia"/>
        </w:rPr>
        <w:t>导致项目计划不能实施的，视情况给予中止或撤销项目，并收回相应的扶持资源。</w:t>
      </w:r>
    </w:p>
    <w:p w14:paraId="41C127FE" w14:textId="77777777" w:rsidR="000B27CE" w:rsidRDefault="00487D13">
      <w:pPr>
        <w:spacing w:line="560" w:lineRule="exact"/>
        <w:ind w:firstLine="640"/>
      </w:pPr>
      <w:r>
        <w:rPr>
          <w:rFonts w:eastAsia="黑体"/>
        </w:rPr>
        <w:t>六、经费支持与保障</w:t>
      </w:r>
    </w:p>
    <w:p w14:paraId="41EF9C9B" w14:textId="77777777" w:rsidR="000B27CE" w:rsidRDefault="00487D13">
      <w:pPr>
        <w:spacing w:line="560" w:lineRule="exact"/>
        <w:ind w:firstLine="640"/>
      </w:pPr>
      <w:r>
        <w:rPr>
          <w:rFonts w:hint="eastAsia"/>
        </w:rPr>
        <w:lastRenderedPageBreak/>
        <w:t>（</w:t>
      </w:r>
      <w:r>
        <w:rPr>
          <w:rFonts w:hint="eastAsia"/>
        </w:rPr>
        <w:t>1</w:t>
      </w:r>
      <w:r>
        <w:rPr>
          <w:rFonts w:hint="eastAsia"/>
        </w:rPr>
        <w:t>）特色项目工作室建设单位负责人为专项经费使用的直接责任人，对项目经费使用的合</w:t>
      </w:r>
      <w:proofErr w:type="gramStart"/>
      <w:r>
        <w:rPr>
          <w:rFonts w:hint="eastAsia"/>
        </w:rPr>
        <w:t>规</w:t>
      </w:r>
      <w:proofErr w:type="gramEnd"/>
      <w:r>
        <w:rPr>
          <w:rFonts w:hint="eastAsia"/>
        </w:rPr>
        <w:t>性、合理性、真实性和相关性承担经济与法律责任。负责人须秉持实事求是、绩效优先的原则，编制合理、规范的基地建设经费预算。</w:t>
      </w:r>
    </w:p>
    <w:p w14:paraId="3E35A1CF" w14:textId="5FA55BC5" w:rsidR="000B27CE" w:rsidRDefault="00487D13">
      <w:pPr>
        <w:spacing w:line="560" w:lineRule="exact"/>
        <w:ind w:firstLine="640"/>
      </w:pPr>
      <w:r>
        <w:t>（</w:t>
      </w:r>
      <w:r>
        <w:rPr>
          <w:rFonts w:hint="eastAsia"/>
        </w:rPr>
        <w:t>2</w:t>
      </w:r>
      <w:r>
        <w:t>）经费标准与拨付：工作室建设经费由启动建设经费和</w:t>
      </w:r>
      <w:r>
        <w:rPr>
          <w:rFonts w:hint="eastAsia"/>
        </w:rPr>
        <w:t>后续建设支持</w:t>
      </w:r>
      <w:r>
        <w:t>经费两部分组成。工作室立项后，由常州市社会教育服务指导中心向每个工作室一次性拨付启动建设经费一万元。第二年度进行</w:t>
      </w:r>
      <w:r>
        <w:rPr>
          <w:rFonts w:hint="eastAsia"/>
        </w:rPr>
        <w:t>阶段性总结</w:t>
      </w:r>
      <w:r>
        <w:t>，</w:t>
      </w:r>
      <w:r>
        <w:rPr>
          <w:rFonts w:hint="eastAsia"/>
        </w:rPr>
        <w:t>根据阶段性总结结果按等次支付项目阶段性建设经费平均每家一万元；建设期满</w:t>
      </w:r>
      <w:proofErr w:type="gramStart"/>
      <w:r>
        <w:t>进行</w:t>
      </w:r>
      <w:r>
        <w:rPr>
          <w:rFonts w:hint="eastAsia"/>
        </w:rPr>
        <w:t>结项总结</w:t>
      </w:r>
      <w:proofErr w:type="gramEnd"/>
      <w:r>
        <w:rPr>
          <w:rFonts w:hint="eastAsia"/>
        </w:rPr>
        <w:t>，按终结性考核等次</w:t>
      </w:r>
      <w:proofErr w:type="gramStart"/>
      <w:r>
        <w:rPr>
          <w:rFonts w:hint="eastAsia"/>
        </w:rPr>
        <w:t>支付结项建设</w:t>
      </w:r>
      <w:proofErr w:type="gramEnd"/>
      <w:r>
        <w:rPr>
          <w:rFonts w:hint="eastAsia"/>
        </w:rPr>
        <w:t>经费。</w:t>
      </w:r>
    </w:p>
    <w:p w14:paraId="3D56584F" w14:textId="65BE7A18" w:rsidR="000B27CE" w:rsidRDefault="00487D13">
      <w:pPr>
        <w:spacing w:before="60" w:line="480" w:lineRule="exact"/>
        <w:jc w:val="center"/>
        <w:rPr>
          <w:rFonts w:ascii="仿宋" w:hAnsi="仿宋" w:cs="仿宋"/>
        </w:rPr>
      </w:pPr>
      <w:r>
        <w:rPr>
          <w:rFonts w:ascii="仿宋" w:hAnsi="仿宋" w:cs="仿宋" w:hint="eastAsia"/>
        </w:rPr>
        <w:t>表：工作室成果后续建设支持经费支付标准</w:t>
      </w:r>
    </w:p>
    <w:tbl>
      <w:tblPr>
        <w:tblW w:w="90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2684"/>
        <w:gridCol w:w="3093"/>
        <w:gridCol w:w="3249"/>
      </w:tblGrid>
      <w:tr w:rsidR="000B27CE" w14:paraId="6184AFEE" w14:textId="77777777" w:rsidTr="002C4B71">
        <w:trPr>
          <w:tblHeader/>
          <w:jc w:val="center"/>
        </w:trPr>
        <w:tc>
          <w:tcPr>
            <w:tcW w:w="2684" w:type="dxa"/>
            <w:vAlign w:val="center"/>
          </w:tcPr>
          <w:p w14:paraId="5C4F6039" w14:textId="77777777" w:rsidR="000B27CE" w:rsidRDefault="00487D13">
            <w:pPr>
              <w:spacing w:before="20" w:after="20" w:line="360" w:lineRule="exact"/>
              <w:jc w:val="center"/>
              <w:rPr>
                <w:rFonts w:ascii="仿宋" w:hAnsi="仿宋" w:cs="仿宋"/>
              </w:rPr>
            </w:pPr>
            <w:r>
              <w:rPr>
                <w:rFonts w:ascii="仿宋" w:hAnsi="仿宋" w:cs="仿宋" w:hint="eastAsia"/>
                <w:b/>
              </w:rPr>
              <w:t>考核等次</w:t>
            </w:r>
          </w:p>
        </w:tc>
        <w:tc>
          <w:tcPr>
            <w:tcW w:w="3093" w:type="dxa"/>
            <w:vAlign w:val="center"/>
          </w:tcPr>
          <w:p w14:paraId="0ADC09C7" w14:textId="77777777" w:rsidR="000B27CE" w:rsidRDefault="00487D13">
            <w:pPr>
              <w:spacing w:before="20" w:after="20" w:line="360" w:lineRule="exact"/>
              <w:jc w:val="center"/>
              <w:rPr>
                <w:rFonts w:ascii="仿宋" w:hAnsi="仿宋" w:cs="仿宋"/>
              </w:rPr>
            </w:pPr>
            <w:r>
              <w:rPr>
                <w:rFonts w:ascii="仿宋" w:hAnsi="仿宋" w:cs="仿宋" w:hint="eastAsia"/>
                <w:b/>
              </w:rPr>
              <w:t>考核分数（百分制）</w:t>
            </w:r>
          </w:p>
        </w:tc>
        <w:tc>
          <w:tcPr>
            <w:tcW w:w="3249" w:type="dxa"/>
            <w:vAlign w:val="center"/>
          </w:tcPr>
          <w:p w14:paraId="4822FF43" w14:textId="575EC947" w:rsidR="000B27CE" w:rsidRDefault="00487D13">
            <w:pPr>
              <w:spacing w:before="20" w:after="20" w:line="360" w:lineRule="exact"/>
              <w:jc w:val="center"/>
              <w:rPr>
                <w:rFonts w:ascii="仿宋" w:hAnsi="仿宋" w:cs="仿宋"/>
              </w:rPr>
            </w:pPr>
            <w:r>
              <w:rPr>
                <w:rFonts w:ascii="仿宋" w:hAnsi="仿宋" w:cs="仿宋" w:hint="eastAsia"/>
                <w:b/>
              </w:rPr>
              <w:t>后续建设支持经费标准</w:t>
            </w:r>
          </w:p>
        </w:tc>
      </w:tr>
      <w:tr w:rsidR="000B27CE" w14:paraId="480017B3" w14:textId="77777777" w:rsidTr="002C4B71">
        <w:trPr>
          <w:jc w:val="center"/>
        </w:trPr>
        <w:tc>
          <w:tcPr>
            <w:tcW w:w="2684" w:type="dxa"/>
            <w:vAlign w:val="center"/>
          </w:tcPr>
          <w:p w14:paraId="01457582" w14:textId="77777777" w:rsidR="000B27CE" w:rsidRDefault="00487D13">
            <w:pPr>
              <w:spacing w:before="20" w:after="20" w:line="360" w:lineRule="exact"/>
              <w:jc w:val="center"/>
              <w:rPr>
                <w:rFonts w:ascii="仿宋" w:hAnsi="仿宋" w:cs="仿宋"/>
              </w:rPr>
            </w:pPr>
            <w:r>
              <w:rPr>
                <w:rFonts w:ascii="仿宋" w:hAnsi="仿宋" w:cs="仿宋" w:hint="eastAsia"/>
              </w:rPr>
              <w:t>一档</w:t>
            </w:r>
          </w:p>
        </w:tc>
        <w:tc>
          <w:tcPr>
            <w:tcW w:w="3093" w:type="dxa"/>
            <w:vAlign w:val="center"/>
          </w:tcPr>
          <w:p w14:paraId="0E2C9FA0" w14:textId="77777777" w:rsidR="000B27CE" w:rsidRDefault="00487D13">
            <w:pPr>
              <w:spacing w:before="20" w:after="20" w:line="360" w:lineRule="exact"/>
              <w:jc w:val="center"/>
              <w:rPr>
                <w:rFonts w:ascii="仿宋" w:hAnsi="仿宋" w:cs="仿宋"/>
              </w:rPr>
            </w:pPr>
            <w:r>
              <w:rPr>
                <w:rFonts w:ascii="仿宋" w:hAnsi="仿宋" w:cs="仿宋" w:hint="eastAsia"/>
              </w:rPr>
              <w:t>90分及以上</w:t>
            </w:r>
          </w:p>
        </w:tc>
        <w:tc>
          <w:tcPr>
            <w:tcW w:w="3249" w:type="dxa"/>
            <w:vAlign w:val="center"/>
          </w:tcPr>
          <w:p w14:paraId="1ECC8AFF" w14:textId="77777777" w:rsidR="000B27CE" w:rsidRDefault="00487D13">
            <w:pPr>
              <w:spacing w:before="20" w:after="20" w:line="360" w:lineRule="exact"/>
              <w:jc w:val="center"/>
              <w:rPr>
                <w:rFonts w:ascii="仿宋" w:hAnsi="仿宋" w:cs="仿宋"/>
              </w:rPr>
            </w:pPr>
            <w:r>
              <w:rPr>
                <w:rFonts w:ascii="仿宋" w:hAnsi="仿宋" w:cs="仿宋" w:hint="eastAsia"/>
              </w:rPr>
              <w:t>3万元</w:t>
            </w:r>
          </w:p>
        </w:tc>
      </w:tr>
      <w:tr w:rsidR="000B27CE" w14:paraId="6F5E233B" w14:textId="77777777" w:rsidTr="002C4B71">
        <w:trPr>
          <w:jc w:val="center"/>
        </w:trPr>
        <w:tc>
          <w:tcPr>
            <w:tcW w:w="2684" w:type="dxa"/>
            <w:vAlign w:val="center"/>
          </w:tcPr>
          <w:p w14:paraId="0582973C" w14:textId="77777777" w:rsidR="000B27CE" w:rsidRDefault="00487D13">
            <w:pPr>
              <w:spacing w:before="20" w:after="20" w:line="360" w:lineRule="exact"/>
              <w:jc w:val="center"/>
              <w:rPr>
                <w:rFonts w:ascii="仿宋" w:hAnsi="仿宋" w:cs="仿宋"/>
              </w:rPr>
            </w:pPr>
            <w:r>
              <w:rPr>
                <w:rFonts w:ascii="仿宋" w:hAnsi="仿宋" w:cs="仿宋" w:hint="eastAsia"/>
              </w:rPr>
              <w:t>二档</w:t>
            </w:r>
          </w:p>
        </w:tc>
        <w:tc>
          <w:tcPr>
            <w:tcW w:w="3093" w:type="dxa"/>
            <w:vAlign w:val="center"/>
          </w:tcPr>
          <w:p w14:paraId="2160432F" w14:textId="77777777" w:rsidR="000B27CE" w:rsidRDefault="00487D13">
            <w:pPr>
              <w:spacing w:before="20" w:after="20" w:line="360" w:lineRule="exact"/>
              <w:jc w:val="center"/>
              <w:rPr>
                <w:rFonts w:ascii="仿宋" w:hAnsi="仿宋" w:cs="仿宋"/>
              </w:rPr>
            </w:pPr>
            <w:r>
              <w:rPr>
                <w:rFonts w:ascii="仿宋" w:hAnsi="仿宋" w:cs="仿宋" w:hint="eastAsia"/>
              </w:rPr>
              <w:t>80—89分</w:t>
            </w:r>
          </w:p>
        </w:tc>
        <w:tc>
          <w:tcPr>
            <w:tcW w:w="3249" w:type="dxa"/>
            <w:vAlign w:val="center"/>
          </w:tcPr>
          <w:p w14:paraId="6DF05197" w14:textId="77777777" w:rsidR="000B27CE" w:rsidRDefault="00487D13">
            <w:pPr>
              <w:spacing w:before="20" w:after="20" w:line="360" w:lineRule="exact"/>
              <w:jc w:val="center"/>
              <w:rPr>
                <w:rFonts w:ascii="仿宋" w:hAnsi="仿宋" w:cs="仿宋"/>
              </w:rPr>
            </w:pPr>
            <w:r>
              <w:rPr>
                <w:rFonts w:ascii="仿宋" w:hAnsi="仿宋" w:cs="仿宋" w:hint="eastAsia"/>
              </w:rPr>
              <w:t>2万元</w:t>
            </w:r>
          </w:p>
        </w:tc>
      </w:tr>
      <w:tr w:rsidR="000B27CE" w14:paraId="73E1E8E2" w14:textId="77777777" w:rsidTr="002C4B71">
        <w:trPr>
          <w:jc w:val="center"/>
        </w:trPr>
        <w:tc>
          <w:tcPr>
            <w:tcW w:w="2684" w:type="dxa"/>
            <w:vAlign w:val="center"/>
          </w:tcPr>
          <w:p w14:paraId="25F62D66" w14:textId="77777777" w:rsidR="000B27CE" w:rsidRDefault="00487D13">
            <w:pPr>
              <w:spacing w:before="20" w:after="20" w:line="360" w:lineRule="exact"/>
              <w:jc w:val="center"/>
              <w:rPr>
                <w:rFonts w:ascii="仿宋" w:hAnsi="仿宋" w:cs="仿宋"/>
              </w:rPr>
            </w:pPr>
            <w:r>
              <w:rPr>
                <w:rFonts w:ascii="仿宋" w:hAnsi="仿宋" w:cs="仿宋" w:hint="eastAsia"/>
              </w:rPr>
              <w:t>三档</w:t>
            </w:r>
          </w:p>
        </w:tc>
        <w:tc>
          <w:tcPr>
            <w:tcW w:w="3093" w:type="dxa"/>
            <w:vAlign w:val="center"/>
          </w:tcPr>
          <w:p w14:paraId="1A49C2BF" w14:textId="77777777" w:rsidR="000B27CE" w:rsidRDefault="00487D13">
            <w:pPr>
              <w:spacing w:before="20" w:after="20" w:line="360" w:lineRule="exact"/>
              <w:jc w:val="center"/>
              <w:rPr>
                <w:rFonts w:ascii="仿宋" w:hAnsi="仿宋" w:cs="仿宋"/>
              </w:rPr>
            </w:pPr>
            <w:r>
              <w:rPr>
                <w:rFonts w:ascii="仿宋" w:hAnsi="仿宋" w:cs="仿宋" w:hint="eastAsia"/>
              </w:rPr>
              <w:t>70—79分</w:t>
            </w:r>
          </w:p>
        </w:tc>
        <w:tc>
          <w:tcPr>
            <w:tcW w:w="3249" w:type="dxa"/>
            <w:vAlign w:val="center"/>
          </w:tcPr>
          <w:p w14:paraId="663FE76D" w14:textId="77777777" w:rsidR="000B27CE" w:rsidRDefault="00487D13">
            <w:pPr>
              <w:spacing w:before="20" w:after="20" w:line="360" w:lineRule="exact"/>
              <w:jc w:val="center"/>
              <w:rPr>
                <w:rFonts w:ascii="仿宋" w:hAnsi="仿宋" w:cs="仿宋"/>
              </w:rPr>
            </w:pPr>
            <w:r>
              <w:rPr>
                <w:rFonts w:ascii="仿宋" w:hAnsi="仿宋" w:cs="仿宋" w:hint="eastAsia"/>
              </w:rPr>
              <w:t>1万元</w:t>
            </w:r>
          </w:p>
        </w:tc>
      </w:tr>
      <w:tr w:rsidR="000B27CE" w14:paraId="768962C1" w14:textId="77777777" w:rsidTr="002C4B71">
        <w:trPr>
          <w:jc w:val="center"/>
        </w:trPr>
        <w:tc>
          <w:tcPr>
            <w:tcW w:w="2684" w:type="dxa"/>
            <w:vAlign w:val="center"/>
          </w:tcPr>
          <w:p w14:paraId="67B1D9BD" w14:textId="77777777" w:rsidR="000B27CE" w:rsidRDefault="00487D13">
            <w:pPr>
              <w:spacing w:before="20" w:after="20" w:line="360" w:lineRule="exact"/>
              <w:jc w:val="center"/>
              <w:rPr>
                <w:rFonts w:ascii="仿宋" w:hAnsi="仿宋" w:cs="仿宋"/>
              </w:rPr>
            </w:pPr>
            <w:r>
              <w:rPr>
                <w:rFonts w:ascii="仿宋" w:hAnsi="仿宋" w:cs="仿宋" w:hint="eastAsia"/>
              </w:rPr>
              <w:t>四档</w:t>
            </w:r>
          </w:p>
        </w:tc>
        <w:tc>
          <w:tcPr>
            <w:tcW w:w="3093" w:type="dxa"/>
            <w:vAlign w:val="center"/>
          </w:tcPr>
          <w:p w14:paraId="3D941679" w14:textId="77777777" w:rsidR="000B27CE" w:rsidRDefault="00487D13">
            <w:pPr>
              <w:spacing w:before="20" w:after="20" w:line="360" w:lineRule="exact"/>
              <w:jc w:val="center"/>
              <w:rPr>
                <w:rFonts w:ascii="仿宋" w:hAnsi="仿宋" w:cs="仿宋"/>
              </w:rPr>
            </w:pPr>
            <w:r>
              <w:rPr>
                <w:rFonts w:ascii="仿宋" w:hAnsi="仿宋" w:cs="仿宋" w:hint="eastAsia"/>
              </w:rPr>
              <w:t>60—69分</w:t>
            </w:r>
          </w:p>
        </w:tc>
        <w:tc>
          <w:tcPr>
            <w:tcW w:w="3249" w:type="dxa"/>
            <w:vAlign w:val="center"/>
          </w:tcPr>
          <w:p w14:paraId="10FF6274" w14:textId="77777777" w:rsidR="000B27CE" w:rsidRDefault="00487D13">
            <w:pPr>
              <w:spacing w:before="20" w:after="20" w:line="360" w:lineRule="exact"/>
              <w:jc w:val="center"/>
              <w:rPr>
                <w:rFonts w:ascii="仿宋" w:hAnsi="仿宋" w:cs="仿宋"/>
              </w:rPr>
            </w:pPr>
            <w:r>
              <w:rPr>
                <w:rFonts w:ascii="仿宋" w:hAnsi="仿宋" w:cs="仿宋" w:hint="eastAsia"/>
              </w:rPr>
              <w:t>0.5万元</w:t>
            </w:r>
          </w:p>
        </w:tc>
      </w:tr>
      <w:tr w:rsidR="000B27CE" w14:paraId="79EC32A9" w14:textId="77777777" w:rsidTr="002C4B71">
        <w:trPr>
          <w:jc w:val="center"/>
        </w:trPr>
        <w:tc>
          <w:tcPr>
            <w:tcW w:w="2684" w:type="dxa"/>
            <w:vAlign w:val="center"/>
          </w:tcPr>
          <w:p w14:paraId="301F069E" w14:textId="77777777" w:rsidR="000B27CE" w:rsidRDefault="00487D13">
            <w:pPr>
              <w:spacing w:before="20" w:after="20" w:line="360" w:lineRule="exact"/>
              <w:jc w:val="center"/>
              <w:rPr>
                <w:rFonts w:ascii="仿宋" w:hAnsi="仿宋" w:cs="仿宋"/>
              </w:rPr>
            </w:pPr>
            <w:r>
              <w:rPr>
                <w:rFonts w:ascii="仿宋" w:hAnsi="仿宋" w:cs="仿宋" w:hint="eastAsia"/>
              </w:rPr>
              <w:t>五档</w:t>
            </w:r>
          </w:p>
        </w:tc>
        <w:tc>
          <w:tcPr>
            <w:tcW w:w="3093" w:type="dxa"/>
            <w:vAlign w:val="center"/>
          </w:tcPr>
          <w:p w14:paraId="59772F1B" w14:textId="77777777" w:rsidR="000B27CE" w:rsidRDefault="00487D13">
            <w:pPr>
              <w:spacing w:before="20" w:after="20" w:line="360" w:lineRule="exact"/>
              <w:jc w:val="center"/>
              <w:rPr>
                <w:rFonts w:ascii="仿宋" w:hAnsi="仿宋" w:cs="仿宋"/>
              </w:rPr>
            </w:pPr>
            <w:r>
              <w:rPr>
                <w:rFonts w:ascii="仿宋" w:hAnsi="仿宋" w:cs="仿宋" w:hint="eastAsia"/>
              </w:rPr>
              <w:t>60分以下</w:t>
            </w:r>
          </w:p>
        </w:tc>
        <w:tc>
          <w:tcPr>
            <w:tcW w:w="3249" w:type="dxa"/>
            <w:vAlign w:val="center"/>
          </w:tcPr>
          <w:p w14:paraId="2A516098" w14:textId="77777777" w:rsidR="000B27CE" w:rsidRDefault="00487D13">
            <w:pPr>
              <w:spacing w:before="20" w:after="20" w:line="360" w:lineRule="exact"/>
              <w:jc w:val="center"/>
              <w:rPr>
                <w:rFonts w:ascii="仿宋" w:hAnsi="仿宋" w:cs="仿宋"/>
              </w:rPr>
            </w:pPr>
            <w:r>
              <w:rPr>
                <w:rFonts w:ascii="仿宋" w:hAnsi="仿宋" w:cs="仿宋" w:hint="eastAsia"/>
              </w:rPr>
              <w:t>不支付</w:t>
            </w:r>
          </w:p>
        </w:tc>
      </w:tr>
    </w:tbl>
    <w:p w14:paraId="42E95475" w14:textId="5F3E42EB" w:rsidR="000B27CE" w:rsidRDefault="00487D13">
      <w:pPr>
        <w:spacing w:line="560" w:lineRule="exact"/>
        <w:ind w:firstLine="640"/>
      </w:pPr>
      <w:r>
        <w:rPr>
          <w:rFonts w:ascii="仿宋" w:hAnsi="仿宋" w:cs="仿宋" w:hint="eastAsia"/>
        </w:rPr>
        <w:t>（2）经费使用与管理：经费主要用于</w:t>
      </w:r>
      <w:r>
        <w:t>工作室开展师资培养、课程开发、科研教研、项目实验、</w:t>
      </w:r>
      <w:r>
        <w:rPr>
          <w:rFonts w:hint="eastAsia"/>
        </w:rPr>
        <w:t>宣传</w:t>
      </w:r>
      <w:r>
        <w:t>推广、评优评先、</w:t>
      </w:r>
      <w:r>
        <w:rPr>
          <w:rFonts w:hint="eastAsia"/>
        </w:rPr>
        <w:t>专家指导、</w:t>
      </w:r>
      <w:r>
        <w:t>社会服务等活动。所有经费均划入工作室所在单位，专款专用；经费使用应做到条目规范、台账清晰、票据齐全，由该单位根据经费使用范围和财务制度有关规定进行监督管理，常州市社会教育服务指导中心适时进行检查。对弄虚作假或违反经费管理规定的，视情节轻重予以通报并追回相应经费。</w:t>
      </w:r>
    </w:p>
    <w:p w14:paraId="660EFFB8" w14:textId="77777777" w:rsidR="000B27CE" w:rsidRDefault="00487D13">
      <w:pPr>
        <w:spacing w:line="560" w:lineRule="exact"/>
        <w:ind w:firstLine="640"/>
      </w:pPr>
      <w:r>
        <w:t>（</w:t>
      </w:r>
      <w:r>
        <w:t>3</w:t>
      </w:r>
      <w:r>
        <w:t>）制度保障：各单位（部门）要积极提供政策、制度、组织、经费、场地等保障支持，为社区教育教师的成长创设良好</w:t>
      </w:r>
      <w:r>
        <w:lastRenderedPageBreak/>
        <w:t>条件。</w:t>
      </w:r>
    </w:p>
    <w:p w14:paraId="553FF413" w14:textId="77777777" w:rsidR="000B27CE" w:rsidRDefault="000B27CE">
      <w:pPr>
        <w:spacing w:line="560" w:lineRule="exact"/>
      </w:pPr>
    </w:p>
    <w:p w14:paraId="43C5D7C3" w14:textId="77777777" w:rsidR="000B27CE" w:rsidRDefault="00487D13">
      <w:pPr>
        <w:spacing w:line="560" w:lineRule="exact"/>
        <w:ind w:right="1280"/>
        <w:jc w:val="right"/>
      </w:pPr>
      <w:r>
        <w:t>常州市社会教育服务指导中心</w:t>
      </w:r>
    </w:p>
    <w:p w14:paraId="37ABFE99" w14:textId="77777777" w:rsidR="000B27CE" w:rsidRDefault="00487D13">
      <w:pPr>
        <w:spacing w:line="560" w:lineRule="exact"/>
        <w:ind w:right="1280"/>
        <w:jc w:val="right"/>
      </w:pPr>
      <w:r>
        <w:t>二〇二六年九月二十日</w:t>
      </w:r>
    </w:p>
    <w:sectPr w:rsidR="000B27CE">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CDD98" w14:textId="77777777" w:rsidR="00E766A0" w:rsidRDefault="00E766A0" w:rsidP="002C4B71">
      <w:r>
        <w:separator/>
      </w:r>
    </w:p>
  </w:endnote>
  <w:endnote w:type="continuationSeparator" w:id="0">
    <w:p w14:paraId="2A71DE3F" w14:textId="77777777" w:rsidR="00E766A0" w:rsidRDefault="00E766A0" w:rsidP="002C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3D81B" w14:textId="77777777" w:rsidR="00E766A0" w:rsidRDefault="00E766A0" w:rsidP="002C4B71">
      <w:r>
        <w:separator/>
      </w:r>
    </w:p>
  </w:footnote>
  <w:footnote w:type="continuationSeparator" w:id="0">
    <w:p w14:paraId="16CCE7D7" w14:textId="77777777" w:rsidR="00E766A0" w:rsidRDefault="00E766A0" w:rsidP="002C4B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9460E6"/>
    <w:rsid w:val="000B27CE"/>
    <w:rsid w:val="002C4B71"/>
    <w:rsid w:val="00487D13"/>
    <w:rsid w:val="00767AED"/>
    <w:rsid w:val="00E766A0"/>
    <w:rsid w:val="05BF1AEF"/>
    <w:rsid w:val="24CB19DB"/>
    <w:rsid w:val="5B5C7704"/>
    <w:rsid w:val="7D946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47B14C-DB4F-47AA-8BB4-10E81B28E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仿宋"/>
      <w:color w:val="000000"/>
      <w:sz w:val="32"/>
      <w:szCs w:val="32"/>
    </w:rPr>
  </w:style>
  <w:style w:type="paragraph" w:styleId="1">
    <w:name w:val="heading 1"/>
    <w:next w:val="a"/>
    <w:qFormat/>
    <w:pPr>
      <w:outlineLvl w:val="0"/>
    </w:pPr>
    <w:rPr>
      <w:rFonts w:eastAsia="仿宋"/>
      <w:color w:val="2E74B5"/>
      <w:sz w:val="32"/>
      <w:szCs w:val="32"/>
    </w:rPr>
  </w:style>
  <w:style w:type="paragraph" w:styleId="2">
    <w:name w:val="heading 2"/>
    <w:next w:val="a"/>
    <w:qFormat/>
    <w:pPr>
      <w:outlineLvl w:val="1"/>
    </w:pPr>
    <w:rPr>
      <w:rFonts w:eastAsia="仿宋"/>
      <w:color w:val="2E74B5"/>
      <w:sz w:val="26"/>
      <w:szCs w:val="26"/>
    </w:rPr>
  </w:style>
  <w:style w:type="paragraph" w:styleId="3">
    <w:name w:val="heading 3"/>
    <w:next w:val="a"/>
    <w:qFormat/>
    <w:pPr>
      <w:outlineLvl w:val="2"/>
    </w:pPr>
    <w:rPr>
      <w:rFonts w:eastAsia="仿宋"/>
      <w:color w:val="1F4D78"/>
      <w:sz w:val="24"/>
      <w:szCs w:val="24"/>
    </w:rPr>
  </w:style>
  <w:style w:type="paragraph" w:styleId="4">
    <w:name w:val="heading 4"/>
    <w:next w:val="a"/>
    <w:qFormat/>
    <w:pPr>
      <w:outlineLvl w:val="3"/>
    </w:pPr>
    <w:rPr>
      <w:rFonts w:eastAsia="仿宋"/>
      <w:i/>
      <w:iCs/>
      <w:color w:val="2E74B5"/>
      <w:sz w:val="32"/>
      <w:szCs w:val="32"/>
    </w:rPr>
  </w:style>
  <w:style w:type="paragraph" w:styleId="5">
    <w:name w:val="heading 5"/>
    <w:next w:val="a"/>
    <w:qFormat/>
    <w:pPr>
      <w:outlineLvl w:val="4"/>
    </w:pPr>
    <w:rPr>
      <w:rFonts w:eastAsia="仿宋"/>
      <w:color w:val="2E74B5"/>
      <w:sz w:val="32"/>
      <w:szCs w:val="32"/>
    </w:rPr>
  </w:style>
  <w:style w:type="paragraph" w:styleId="6">
    <w:name w:val="heading 6"/>
    <w:next w:val="a"/>
    <w:qFormat/>
    <w:pPr>
      <w:outlineLvl w:val="5"/>
    </w:pPr>
    <w:rPr>
      <w:rFonts w:eastAsia="仿宋"/>
      <w:color w:val="1F4D78"/>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link w:val="a4"/>
    <w:uiPriority w:val="99"/>
    <w:semiHidden/>
    <w:unhideWhenUsed/>
    <w:qFormat/>
    <w:rPr>
      <w:rFonts w:eastAsia="仿宋"/>
      <w:color w:val="000000"/>
    </w:rPr>
  </w:style>
  <w:style w:type="paragraph" w:styleId="a5">
    <w:name w:val="footnote text"/>
    <w:link w:val="a6"/>
    <w:uiPriority w:val="99"/>
    <w:semiHidden/>
    <w:unhideWhenUsed/>
    <w:qFormat/>
    <w:rPr>
      <w:rFonts w:eastAsia="仿宋"/>
      <w:color w:val="000000"/>
    </w:rPr>
  </w:style>
  <w:style w:type="paragraph" w:styleId="a7">
    <w:name w:val="Title"/>
    <w:qFormat/>
    <w:rPr>
      <w:rFonts w:eastAsia="仿宋"/>
      <w:color w:val="000000"/>
      <w:sz w:val="56"/>
      <w:szCs w:val="56"/>
    </w:rPr>
  </w:style>
  <w:style w:type="character" w:styleId="a8">
    <w:name w:val="endnote reference"/>
    <w:uiPriority w:val="99"/>
    <w:semiHidden/>
    <w:unhideWhenUsed/>
    <w:qFormat/>
    <w:rPr>
      <w:vertAlign w:val="superscript"/>
    </w:rPr>
  </w:style>
  <w:style w:type="character" w:styleId="a9">
    <w:name w:val="Hyperlink"/>
    <w:uiPriority w:val="99"/>
    <w:unhideWhenUsed/>
    <w:qFormat/>
    <w:rPr>
      <w:color w:val="0563C1"/>
      <w:u w:val="single"/>
    </w:rPr>
  </w:style>
  <w:style w:type="character" w:styleId="aa">
    <w:name w:val="footnote reference"/>
    <w:uiPriority w:val="99"/>
    <w:semiHidden/>
    <w:unhideWhenUsed/>
    <w:qFormat/>
    <w:rPr>
      <w:vertAlign w:val="superscript"/>
    </w:rPr>
  </w:style>
  <w:style w:type="paragraph" w:styleId="ab">
    <w:name w:val="List Paragraph"/>
    <w:qFormat/>
    <w:rPr>
      <w:rFonts w:eastAsia="仿宋"/>
      <w:color w:val="000000"/>
      <w:sz w:val="32"/>
      <w:szCs w:val="32"/>
    </w:rPr>
  </w:style>
  <w:style w:type="character" w:customStyle="1" w:styleId="a6">
    <w:name w:val="脚注文本 字符"/>
    <w:link w:val="a5"/>
    <w:uiPriority w:val="99"/>
    <w:semiHidden/>
    <w:unhideWhenUsed/>
    <w:qFormat/>
    <w:rPr>
      <w:sz w:val="20"/>
      <w:szCs w:val="20"/>
    </w:rPr>
  </w:style>
  <w:style w:type="character" w:customStyle="1" w:styleId="a4">
    <w:name w:val="尾注文本 字符"/>
    <w:link w:val="a3"/>
    <w:uiPriority w:val="99"/>
    <w:semiHidden/>
    <w:unhideWhenUsed/>
    <w:qFormat/>
    <w:rPr>
      <w:sz w:val="20"/>
      <w:szCs w:val="20"/>
    </w:rPr>
  </w:style>
  <w:style w:type="paragraph" w:styleId="ac">
    <w:name w:val="header"/>
    <w:basedOn w:val="a"/>
    <w:link w:val="ad"/>
    <w:rsid w:val="002C4B71"/>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rsid w:val="002C4B71"/>
    <w:rPr>
      <w:rFonts w:eastAsia="仿宋"/>
      <w:color w:val="000000"/>
      <w:sz w:val="18"/>
      <w:szCs w:val="18"/>
    </w:rPr>
  </w:style>
  <w:style w:type="paragraph" w:styleId="ae">
    <w:name w:val="footer"/>
    <w:basedOn w:val="a"/>
    <w:link w:val="af"/>
    <w:rsid w:val="002C4B71"/>
    <w:pPr>
      <w:tabs>
        <w:tab w:val="center" w:pos="4153"/>
        <w:tab w:val="right" w:pos="8306"/>
      </w:tabs>
      <w:snapToGrid w:val="0"/>
      <w:jc w:val="left"/>
    </w:pPr>
    <w:rPr>
      <w:sz w:val="18"/>
      <w:szCs w:val="18"/>
    </w:rPr>
  </w:style>
  <w:style w:type="character" w:customStyle="1" w:styleId="af">
    <w:name w:val="页脚 字符"/>
    <w:basedOn w:val="a0"/>
    <w:link w:val="ae"/>
    <w:rsid w:val="002C4B71"/>
    <w:rPr>
      <w:rFonts w:eastAsia="仿宋"/>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332</Words>
  <Characters>1893</Characters>
  <Application>Microsoft Office Word</Application>
  <DocSecurity>0</DocSecurity>
  <Lines>15</Lines>
  <Paragraphs>4</Paragraphs>
  <ScaleCrop>false</ScaleCrop>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thtf</cp:lastModifiedBy>
  <cp:revision>3</cp:revision>
  <dcterms:created xsi:type="dcterms:W3CDTF">2026-09-14T15:08:00Z</dcterms:created>
  <dcterms:modified xsi:type="dcterms:W3CDTF">2026-09-21T05:48:00Z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2701974335929723_0/project_7659084039348830527-files/社区教育特色项目工作室建设方案（修订稿）.docx","ReservedCode1":"","ContentPropagator":"001191110102MACQD9K64028705","PropagateID":"2701974335929723#1789458346728","ReservedCode2":""}</vt:lpwstr>
  </property>
  <property fmtid="{D5CDD505-2E9C-101B-9397-08002B2CF9AE}" pid="3" name="KSOTemplateDocerSaveRecord">
    <vt:lpwstr>eyJoZGlkIjoiMDY5NmFjMmM4ZTljMGJiZDAxN2JmYTc0NGI0NmFiNDgiLCJ1c2VySWQiOiIyNzIxNzQ2NjMifQ==</vt:lpwstr>
  </property>
  <property fmtid="{D5CDD505-2E9C-101B-9397-08002B2CF9AE}" pid="4" name="KSOProductBuildVer">
    <vt:lpwstr>2052-12.1.0.28505</vt:lpwstr>
  </property>
  <property fmtid="{D5CDD505-2E9C-101B-9397-08002B2CF9AE}" pid="5" name="ICV">
    <vt:lpwstr>A733FC93A55F4A6C994ECD1535E98260_13</vt:lpwstr>
  </property>
</Properties>
</file>