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华文中宋" w:hAnsi="华文中宋" w:eastAsia="华文中宋" w:cs="华文中宋"/>
          <w:color w:val="auto"/>
          <w:sz w:val="32"/>
          <w:szCs w:val="32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auto"/>
          <w:sz w:val="44"/>
          <w:szCs w:val="44"/>
          <w:lang w:eastAsia="zh-CN"/>
        </w:rPr>
        <w:t>申报硕士课程目录</w:t>
      </w:r>
    </w:p>
    <w:tbl>
      <w:tblPr>
        <w:tblStyle w:val="3"/>
        <w:tblW w:w="4997" w:type="pct"/>
        <w:tblInd w:w="0" w:type="dxa"/>
        <w:tblBorders>
          <w:top w:val="single" w:color="444444" w:sz="4" w:space="0"/>
          <w:left w:val="single" w:color="444444" w:sz="4" w:space="0"/>
          <w:bottom w:val="single" w:color="444444" w:sz="4" w:space="0"/>
          <w:right w:val="single" w:color="444444" w:sz="4" w:space="0"/>
          <w:insideH w:val="single" w:color="444444" w:sz="4" w:space="0"/>
          <w:insideV w:val="single" w:color="444444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994"/>
        <w:gridCol w:w="4757"/>
        <w:gridCol w:w="2309"/>
        <w:gridCol w:w="1482"/>
        <w:gridCol w:w="2604"/>
      </w:tblGrid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硕士课程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专业描述/可选专业方向</w:t>
            </w:r>
          </w:p>
        </w:tc>
        <w:tc>
          <w:tcPr>
            <w:tcW w:w="8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是否适用于3+1+X项目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加权平均分 （WAM)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注意事项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人文、设计与建筑学院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策展及文化领导力硕士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9318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模拟及沉浸式技术硕士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9323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设计硕士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9313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可选单一方向，也可以多个方向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：图形传播、空间体验、交互设计、视觉设计、新材料设计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2年，学生若无相关背景则须提供作品集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应用语言学硕士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8236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发展研究硕士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8942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环境管理硕士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8623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国际关系硕士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8233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公共政策与治理硕士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8259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新闻与传播硕士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8232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公共关系与广告硕士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8281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：2年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公共关系与广告/设计硕士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8234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双学位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笔译与口译硕士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8204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2年，参加测试以证明高级水平的双语能力（选择普通话为专业方向的中国学生无需参加测试）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笔译硕士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8203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1.7年，参加测试以证明高级水平的双语能力（选择普通话为专业方向的中国学生无需参加测试）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口译硕士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8202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人文与社会科学双学位硕士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8224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可在以上专业中选择2个，但必须同时满足每个项目1年制入学条件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2年，依各硕士课程要求而定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教育学硕士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8913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教育领导力硕士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8963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选项A：是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1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79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选项B：有条件适用</w:t>
            </w:r>
          </w:p>
        </w:tc>
        <w:tc>
          <w:tcPr>
            <w:tcW w:w="523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城市规划硕士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8148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建筑学硕士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8143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可选generalist或者其中一下任一stream:高性能技术、住宅、社会机构、城市状况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2年，提供所在国建筑学学位（总平均分大于或等于65分）并提供作品集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或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若总平均分低于65分，需提供所在国建筑学学位且最后2年平均分等于或大于70分（或可提供第3年成绩及SA成绩单）并提供作品集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建筑工程项目管理/地产开发双学位硕士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8121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2-2.4年，学生需有所在国相关学位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房地产及开发硕士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8127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1.7年，学生需有所在国相关学位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商学硕士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8404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以下专业方向选其一：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会计、全球可持续发展与社会影响、战略与创新、经济学与金融、金融、金融科技、商业分析、网络安全风险及隐私、数字化转型、市场分析、市场营销、国际商务、人力资源管理、风险管理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商学硕士（延伸课程）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8417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以下专业方向选其二：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会计、全球可持续发展与社会影响、战略与创新、经济学与金融、金融、金融科技、商业分析、网络安全风险及隐私、数字化转型、市场分析、市场营销、国际商务、人力资源管理、风险管理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国际商务硕士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8371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专业会计硕士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8409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专业会计硕士（延伸课程）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8415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可多选4门课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9201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LLM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要求学生有所在国院校学习法学、社会科学或人文专业（包括人文、管理学会计、经济学、管理学、传播学、犯罪学、政策研究、国际研究、心理学、规划学等）学习背景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法学博士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9150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JD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3年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工程学部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7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工程科学硕士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8338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以下专业方向至少选其一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：生物医学工程、化学工程、土木工程、环境工程、岩土工程与工程地质、项目管理、结构工程、交通工程、水利工程（流域与海岸）、水利工程（废水处理）、电气工程、能源系统、系统与控制、航天系统工程、可持续系统、核工程、食品加工工程、机械与先进制造工程、机器人学、光伏及太阳能、可再生能源、电信工程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选项A：须持有相关学科领域学位且平均分达到65分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选项B：持有任何学科学位且平均分达到65分，将获得工程科学研究生证书（7373 Diploma），之后可转入工程科学硕士学位项目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5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信息技术硕士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8543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以下专业方向至少选其一：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人工智能、信息技术、数据库系统、数据科学与工程、网络互联、网络安全工程</w:t>
            </w: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选项A：须持有相关学科领域学位且平均分达到65分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选项B：持有任何学科学位且平均分达到65分，将获得信息技术研究生证书（7546 Diploma），之后可转入信息技术硕士学位项目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理学部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海洋环境科学与管理硕士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8271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1.7年，须拥有所在国理学类学位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材料技术硕士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8717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2年，须拥有所在国理学或工程类学位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数学硕士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8719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1.7年，须拥有所在国统计学或数学类学位，总平均分达到65分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总平均分达到65分，且至少3门数学、统计类科目达III程度</w:t>
            </w: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统计学硕士</w:t>
            </w: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8750</w:t>
            </w:r>
          </w:p>
        </w:tc>
        <w:tc>
          <w:tcPr>
            <w:tcW w:w="167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444444" w:sz="4" w:space="0"/>
            <w:left w:val="single" w:color="444444" w:sz="4" w:space="0"/>
            <w:bottom w:val="single" w:color="444444" w:sz="4" w:space="0"/>
            <w:right w:val="single" w:color="444444" w:sz="4" w:space="0"/>
            <w:insideH w:val="single" w:color="444444" w:sz="4" w:space="0"/>
            <w:insideV w:val="single" w:color="444444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金融数学硕士</w:t>
            </w:r>
          </w:p>
        </w:tc>
        <w:tc>
          <w:tcPr>
            <w:tcW w:w="351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8161</w:t>
            </w:r>
          </w:p>
        </w:tc>
        <w:tc>
          <w:tcPr>
            <w:tcW w:w="1679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有条件适用</w:t>
            </w:r>
          </w:p>
        </w:tc>
        <w:tc>
          <w:tcPr>
            <w:tcW w:w="523" w:type="pct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pStyle w:val="5"/>
        <w:spacing w:after="100"/>
        <w:rPr>
          <w:rFonts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</w:rPr>
        <w:t>悉尼新南威尔士大学保留未提前通知更改信息的权利。中文翻译仅供参考。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obe Song Std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kODQ0M2M2YzE0ODJkZDI0OTlhNDAxOWVlOWI4ZDMifQ=="/>
  </w:docVars>
  <w:rsids>
    <w:rsidRoot w:val="67B367E2"/>
    <w:rsid w:val="67B3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Pa6"/>
    <w:basedOn w:val="6"/>
    <w:next w:val="6"/>
    <w:autoRedefine/>
    <w:qFormat/>
    <w:uiPriority w:val="99"/>
    <w:pPr>
      <w:spacing w:line="241" w:lineRule="atLeast"/>
    </w:pPr>
    <w:rPr>
      <w:rFonts w:cstheme="minorBidi"/>
      <w:color w:val="auto"/>
    </w:rPr>
  </w:style>
  <w:style w:type="paragraph" w:customStyle="1" w:styleId="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dobe Song Std" w:eastAsia="Adobe Song Std" w:cs="Adobe Song Std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2024-03-04T07:04:00Z</dcterms:created>
  <dc:creator>张炜佳（Joanna）</dc:creator>
  <cp:lastModifiedBy>张炜佳（Joanna）</cp:lastModifiedBy>
  <dcterms:modified xsi:type="dcterms:W3CDTF">2024-03-04T07:05:25Z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39480C32BD1748C694CCA4F81D9A11A6_11</vt:lpwstr>
  </property>
</Properties>
</file>