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spacing w:before="49"/>
        <w:ind w:left="1240"/>
        <w:rPr>
          <w:rFonts w:ascii="Times New Roman" w:hAnsi="Times New Roman" w:eastAsia="仿宋" w:cs="Times New Roman"/>
        </w:rPr>
      </w:pPr>
      <w:r>
        <w:rPr>
          <w:rFonts w:ascii="Times New Roman" w:hAnsi="Times New Roman" w:eastAsia="仿宋" w:cs="Times New Roman"/>
          <w:spacing w:val="-7"/>
          <w:w w:val="95"/>
        </w:rPr>
        <w:t xml:space="preserve">附件 </w:t>
      </w:r>
      <w:r>
        <w:rPr>
          <w:rFonts w:hint="eastAsia" w:ascii="Times New Roman" w:hAnsi="Times New Roman" w:eastAsia="仿宋" w:cs="Times New Roman"/>
          <w:spacing w:val="-7"/>
          <w:w w:val="95"/>
          <w:lang w:val="en-US" w:eastAsia="zh-CN"/>
        </w:rPr>
        <w:t>4</w:t>
      </w:r>
      <w:r>
        <w:rPr>
          <w:rFonts w:ascii="Times New Roman" w:hAnsi="Times New Roman" w:eastAsia="仿宋" w:cs="Times New Roman"/>
          <w:w w:val="95"/>
        </w:rPr>
        <w:t>：</w:t>
      </w:r>
    </w:p>
    <w:p>
      <w:pPr>
        <w:pStyle w:val="2"/>
        <w:jc w:val="center"/>
        <w:rPr>
          <w:rFonts w:ascii="Times New Roman" w:hAnsi="Times New Roman" w:eastAsia="华文中宋" w:cs="Times New Roman"/>
          <w:b w:val="0"/>
          <w:sz w:val="36"/>
          <w:szCs w:val="36"/>
        </w:rPr>
      </w:pPr>
      <w:bookmarkStart w:id="0" w:name="_GoBack"/>
      <w:r>
        <w:rPr>
          <w:rFonts w:ascii="Times New Roman" w:hAnsi="Times New Roman" w:eastAsia="华文中宋" w:cs="Times New Roman"/>
          <w:b w:val="0"/>
          <w:sz w:val="36"/>
          <w:szCs w:val="36"/>
        </w:rPr>
        <w:t>2024 年江苏高校外国留学生教学观摩比赛评分表</w:t>
      </w:r>
    </w:p>
    <w:bookmarkEnd w:id="0"/>
    <w:p>
      <w:pPr>
        <w:spacing w:before="6"/>
        <w:jc w:val="center"/>
        <w:rPr>
          <w:rFonts w:ascii="Times New Roman" w:hAnsi="Times New Roman" w:eastAsia="仿宋" w:cs="Times New Roman"/>
          <w:sz w:val="11"/>
        </w:rPr>
      </w:pPr>
      <w:r>
        <w:rPr>
          <w:rFonts w:ascii="Times New Roman" w:hAnsi="Times New Roman" w:eastAsia="仿宋" w:cs="Times New Roman"/>
          <w:sz w:val="30"/>
          <w:szCs w:val="30"/>
        </w:rPr>
        <w:t>（全英文授课课程组）</w:t>
      </w:r>
    </w:p>
    <w:tbl>
      <w:tblPr>
        <w:tblStyle w:val="19"/>
        <w:tblW w:w="0" w:type="auto"/>
        <w:tblInd w:w="98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76"/>
        <w:gridCol w:w="992"/>
        <w:gridCol w:w="1351"/>
        <w:gridCol w:w="5311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6" w:hRule="atLeast"/>
        </w:trPr>
        <w:tc>
          <w:tcPr>
            <w:tcW w:w="1276" w:type="dxa"/>
            <w:vAlign w:val="center"/>
          </w:tcPr>
          <w:p>
            <w:pPr>
              <w:pStyle w:val="23"/>
              <w:spacing w:before="0" w:line="175" w:lineRule="auto"/>
              <w:ind w:left="284" w:right="272"/>
              <w:rPr>
                <w:rFonts w:eastAsia="仿宋"/>
                <w:b/>
                <w:spacing w:val="-1"/>
                <w:sz w:val="28"/>
                <w:lang w:eastAsia="en-US"/>
              </w:rPr>
            </w:pPr>
            <w:r>
              <w:rPr>
                <w:rFonts w:eastAsia="仿宋"/>
                <w:b/>
                <w:spacing w:val="-1"/>
                <w:sz w:val="28"/>
                <w:lang w:eastAsia="en-US"/>
              </w:rPr>
              <w:t>评价</w:t>
            </w:r>
          </w:p>
          <w:p>
            <w:pPr>
              <w:pStyle w:val="23"/>
              <w:spacing w:before="0" w:line="175" w:lineRule="auto"/>
              <w:ind w:left="284" w:right="272"/>
              <w:rPr>
                <w:rFonts w:eastAsia="仿宋"/>
                <w:b/>
                <w:sz w:val="28"/>
                <w:lang w:eastAsia="zh-CN"/>
              </w:rPr>
            </w:pPr>
            <w:r>
              <w:rPr>
                <w:rFonts w:eastAsia="仿宋"/>
                <w:b/>
                <w:spacing w:val="-1"/>
                <w:sz w:val="28"/>
                <w:lang w:eastAsia="en-US"/>
              </w:rPr>
              <w:t>指标</w:t>
            </w:r>
          </w:p>
        </w:tc>
        <w:tc>
          <w:tcPr>
            <w:tcW w:w="992" w:type="dxa"/>
            <w:vAlign w:val="center"/>
          </w:tcPr>
          <w:p>
            <w:pPr>
              <w:pStyle w:val="23"/>
              <w:spacing w:before="0"/>
              <w:ind w:left="0" w:right="181"/>
              <w:rPr>
                <w:rFonts w:eastAsia="仿宋"/>
                <w:b/>
                <w:sz w:val="28"/>
                <w:lang w:eastAsia="en-US"/>
              </w:rPr>
            </w:pPr>
            <w:r>
              <w:rPr>
                <w:rFonts w:eastAsia="仿宋"/>
                <w:b/>
                <w:sz w:val="28"/>
                <w:lang w:eastAsia="en-US"/>
              </w:rPr>
              <w:t>比例</w:t>
            </w:r>
          </w:p>
        </w:tc>
        <w:tc>
          <w:tcPr>
            <w:tcW w:w="6662" w:type="dxa"/>
            <w:gridSpan w:val="2"/>
            <w:vAlign w:val="center"/>
          </w:tcPr>
          <w:p>
            <w:pPr>
              <w:pStyle w:val="23"/>
              <w:spacing w:before="0"/>
              <w:ind w:left="0" w:right="181"/>
              <w:rPr>
                <w:rFonts w:eastAsia="仿宋"/>
                <w:b/>
                <w:sz w:val="28"/>
                <w:lang w:eastAsia="en-US"/>
              </w:rPr>
            </w:pPr>
            <w:r>
              <w:rPr>
                <w:rFonts w:eastAsia="仿宋"/>
                <w:b/>
                <w:sz w:val="28"/>
                <w:lang w:eastAsia="en-US"/>
              </w:rPr>
              <w:t>评分内容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21" w:hRule="atLeast"/>
        </w:trPr>
        <w:tc>
          <w:tcPr>
            <w:tcW w:w="1276" w:type="dxa"/>
            <w:vMerge w:val="restart"/>
            <w:vAlign w:val="center"/>
          </w:tcPr>
          <w:p>
            <w:pPr>
              <w:pStyle w:val="23"/>
              <w:spacing w:before="0" w:line="175" w:lineRule="auto"/>
              <w:ind w:left="282" w:right="273"/>
              <w:rPr>
                <w:rFonts w:eastAsia="仿宋"/>
                <w:b/>
                <w:sz w:val="28"/>
                <w:lang w:eastAsia="en-US"/>
              </w:rPr>
            </w:pPr>
            <w:r>
              <w:rPr>
                <w:rFonts w:eastAsia="仿宋"/>
                <w:b/>
                <w:spacing w:val="-1"/>
                <w:sz w:val="28"/>
                <w:lang w:eastAsia="en-US"/>
              </w:rPr>
              <w:t>教学设计</w:t>
            </w:r>
          </w:p>
        </w:tc>
        <w:tc>
          <w:tcPr>
            <w:tcW w:w="992" w:type="dxa"/>
            <w:vMerge w:val="restart"/>
            <w:vAlign w:val="center"/>
          </w:tcPr>
          <w:p>
            <w:pPr>
              <w:pStyle w:val="23"/>
              <w:spacing w:before="174"/>
              <w:ind w:left="0"/>
              <w:rPr>
                <w:rFonts w:eastAsia="仿宋"/>
                <w:sz w:val="28"/>
                <w:lang w:eastAsia="en-US"/>
              </w:rPr>
            </w:pPr>
            <w:r>
              <w:rPr>
                <w:rFonts w:eastAsia="仿宋"/>
                <w:sz w:val="28"/>
                <w:lang w:eastAsia="en-US"/>
              </w:rPr>
              <w:t>30%</w:t>
            </w:r>
          </w:p>
        </w:tc>
        <w:tc>
          <w:tcPr>
            <w:tcW w:w="6662" w:type="dxa"/>
            <w:gridSpan w:val="2"/>
            <w:vAlign w:val="center"/>
          </w:tcPr>
          <w:p>
            <w:pPr>
              <w:pStyle w:val="23"/>
              <w:spacing w:before="80"/>
              <w:ind w:left="111" w:right="93"/>
              <w:jc w:val="both"/>
              <w:rPr>
                <w:rFonts w:eastAsia="仿宋"/>
                <w:sz w:val="28"/>
                <w:lang w:eastAsia="zh-CN"/>
              </w:rPr>
            </w:pPr>
            <w:r>
              <w:rPr>
                <w:rFonts w:eastAsia="仿宋"/>
                <w:spacing w:val="-13"/>
                <w:sz w:val="28"/>
                <w:lang w:eastAsia="zh-CN"/>
              </w:rPr>
              <w:t>备课充分，精心设计教学各个环节，有符合课程</w:t>
            </w:r>
            <w:r>
              <w:rPr>
                <w:rFonts w:eastAsia="仿宋"/>
                <w:spacing w:val="-11"/>
                <w:sz w:val="28"/>
                <w:lang w:eastAsia="zh-CN"/>
              </w:rPr>
              <w:t>大纲的教学目标、教学内容和教学方法设计。教</w:t>
            </w:r>
            <w:r>
              <w:rPr>
                <w:rFonts w:eastAsia="仿宋"/>
                <w:sz w:val="28"/>
                <w:lang w:eastAsia="zh-CN"/>
              </w:rPr>
              <w:t>案完整、规范，条理清晰。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" w:hRule="atLeast"/>
        </w:trPr>
        <w:tc>
          <w:tcPr>
            <w:tcW w:w="1276" w:type="dxa"/>
            <w:vMerge w:val="continue"/>
            <w:tcBorders>
              <w:top w:val="nil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ascii="Times New Roman" w:hAnsi="Times New Roman" w:eastAsia="仿宋" w:cs="Times New Roman"/>
                <w:kern w:val="0"/>
                <w:sz w:val="2"/>
                <w:szCs w:val="2"/>
                <w:lang w:eastAsia="zh-CN"/>
              </w:rPr>
            </w:pPr>
          </w:p>
        </w:tc>
        <w:tc>
          <w:tcPr>
            <w:tcW w:w="992" w:type="dxa"/>
            <w:vMerge w:val="continue"/>
            <w:tcBorders>
              <w:top w:val="nil"/>
            </w:tcBorders>
            <w:vAlign w:val="center"/>
          </w:tcPr>
          <w:p>
            <w:pPr>
              <w:autoSpaceDE w:val="0"/>
              <w:autoSpaceDN w:val="0"/>
              <w:rPr>
                <w:rFonts w:ascii="Times New Roman" w:hAnsi="Times New Roman" w:eastAsia="仿宋" w:cs="Times New Roman"/>
                <w:kern w:val="0"/>
                <w:sz w:val="2"/>
                <w:szCs w:val="2"/>
                <w:lang w:eastAsia="zh-CN"/>
              </w:rPr>
            </w:pPr>
          </w:p>
        </w:tc>
        <w:tc>
          <w:tcPr>
            <w:tcW w:w="6662" w:type="dxa"/>
            <w:gridSpan w:val="2"/>
            <w:vAlign w:val="center"/>
          </w:tcPr>
          <w:p>
            <w:pPr>
              <w:pStyle w:val="23"/>
              <w:spacing w:before="58"/>
              <w:ind w:left="111" w:right="93"/>
              <w:jc w:val="both"/>
              <w:rPr>
                <w:rFonts w:eastAsia="仿宋"/>
                <w:sz w:val="28"/>
                <w:lang w:eastAsia="zh-CN"/>
              </w:rPr>
            </w:pPr>
            <w:r>
              <w:rPr>
                <w:rFonts w:eastAsia="仿宋"/>
                <w:spacing w:val="-8"/>
                <w:sz w:val="28"/>
                <w:lang w:eastAsia="zh-CN"/>
              </w:rPr>
              <w:t>知识讲授符合留学生认知规律和教学实际，且能</w:t>
            </w:r>
            <w:r>
              <w:rPr>
                <w:rFonts w:eastAsia="仿宋"/>
                <w:sz w:val="28"/>
                <w:lang w:eastAsia="zh-CN"/>
              </w:rPr>
              <w:t>融入中国国情教育元素。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1" w:hRule="atLeast"/>
        </w:trPr>
        <w:tc>
          <w:tcPr>
            <w:tcW w:w="1276" w:type="dxa"/>
            <w:vMerge w:val="restart"/>
            <w:vAlign w:val="center"/>
          </w:tcPr>
          <w:p>
            <w:pPr>
              <w:pStyle w:val="23"/>
              <w:spacing w:before="0" w:line="175" w:lineRule="auto"/>
              <w:ind w:left="282" w:right="273"/>
              <w:rPr>
                <w:rFonts w:eastAsia="仿宋"/>
                <w:b/>
                <w:sz w:val="28"/>
                <w:lang w:eastAsia="en-US"/>
              </w:rPr>
            </w:pPr>
            <w:r>
              <w:rPr>
                <w:rFonts w:eastAsia="仿宋"/>
                <w:b/>
                <w:spacing w:val="-1"/>
                <w:sz w:val="28"/>
                <w:lang w:eastAsia="en-US"/>
              </w:rPr>
              <w:t>教学实施</w:t>
            </w:r>
          </w:p>
        </w:tc>
        <w:tc>
          <w:tcPr>
            <w:tcW w:w="992" w:type="dxa"/>
            <w:vMerge w:val="restart"/>
            <w:vAlign w:val="center"/>
          </w:tcPr>
          <w:p>
            <w:pPr>
              <w:pStyle w:val="23"/>
              <w:spacing w:before="0"/>
              <w:ind w:left="0"/>
              <w:rPr>
                <w:rFonts w:eastAsia="仿宋"/>
                <w:sz w:val="28"/>
                <w:lang w:eastAsia="en-US"/>
              </w:rPr>
            </w:pPr>
            <w:r>
              <w:rPr>
                <w:rFonts w:eastAsia="仿宋"/>
                <w:sz w:val="28"/>
                <w:lang w:eastAsia="en-US"/>
              </w:rPr>
              <w:t>40%</w:t>
            </w:r>
          </w:p>
        </w:tc>
        <w:tc>
          <w:tcPr>
            <w:tcW w:w="6662" w:type="dxa"/>
            <w:gridSpan w:val="2"/>
            <w:vAlign w:val="center"/>
          </w:tcPr>
          <w:p>
            <w:pPr>
              <w:pStyle w:val="23"/>
              <w:spacing w:before="0" w:line="360" w:lineRule="atLeast"/>
              <w:ind w:left="111" w:right="-44"/>
              <w:jc w:val="both"/>
              <w:rPr>
                <w:rFonts w:eastAsia="仿宋"/>
                <w:sz w:val="28"/>
                <w:lang w:eastAsia="zh-CN"/>
              </w:rPr>
            </w:pPr>
            <w:r>
              <w:rPr>
                <w:rFonts w:eastAsia="仿宋"/>
                <w:sz w:val="28"/>
                <w:lang w:eastAsia="zh-CN"/>
              </w:rPr>
              <w:t>围绕选题设计，教学目的明确，教学思路清晰。</w:t>
            </w:r>
            <w:r>
              <w:rPr>
                <w:rFonts w:eastAsia="仿宋"/>
                <w:spacing w:val="-10"/>
                <w:sz w:val="28"/>
                <w:lang w:eastAsia="zh-CN"/>
              </w:rPr>
              <w:t>善于提炼专业课程核心内容，尽可能将立德树人和专业知识传授融合，教学内容呈现恰当，教学</w:t>
            </w:r>
            <w:r>
              <w:rPr>
                <w:rFonts w:eastAsia="仿宋"/>
                <w:sz w:val="28"/>
                <w:lang w:eastAsia="zh-CN"/>
              </w:rPr>
              <w:t>活动组织合理。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0" w:hRule="atLeast"/>
        </w:trPr>
        <w:tc>
          <w:tcPr>
            <w:tcW w:w="1276" w:type="dxa"/>
            <w:vMerge w:val="continue"/>
            <w:tcBorders>
              <w:top w:val="nil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ascii="Times New Roman" w:hAnsi="Times New Roman" w:eastAsia="仿宋" w:cs="Times New Roman"/>
                <w:kern w:val="0"/>
                <w:sz w:val="2"/>
                <w:szCs w:val="2"/>
                <w:lang w:eastAsia="zh-CN"/>
              </w:rPr>
            </w:pPr>
          </w:p>
        </w:tc>
        <w:tc>
          <w:tcPr>
            <w:tcW w:w="992" w:type="dxa"/>
            <w:vMerge w:val="continue"/>
            <w:tcBorders>
              <w:top w:val="nil"/>
            </w:tcBorders>
            <w:vAlign w:val="center"/>
          </w:tcPr>
          <w:p>
            <w:pPr>
              <w:autoSpaceDE w:val="0"/>
              <w:autoSpaceDN w:val="0"/>
              <w:rPr>
                <w:rFonts w:ascii="Times New Roman" w:hAnsi="Times New Roman" w:eastAsia="仿宋" w:cs="Times New Roman"/>
                <w:kern w:val="0"/>
                <w:sz w:val="2"/>
                <w:szCs w:val="2"/>
                <w:lang w:eastAsia="zh-CN"/>
              </w:rPr>
            </w:pPr>
          </w:p>
        </w:tc>
        <w:tc>
          <w:tcPr>
            <w:tcW w:w="6662" w:type="dxa"/>
            <w:gridSpan w:val="2"/>
            <w:vAlign w:val="center"/>
          </w:tcPr>
          <w:p>
            <w:pPr>
              <w:pStyle w:val="23"/>
              <w:spacing w:before="58"/>
              <w:ind w:left="111" w:right="93"/>
              <w:jc w:val="both"/>
              <w:rPr>
                <w:rFonts w:eastAsia="仿宋"/>
                <w:sz w:val="28"/>
                <w:lang w:eastAsia="zh-CN"/>
              </w:rPr>
            </w:pPr>
            <w:r>
              <w:rPr>
                <w:rFonts w:eastAsia="仿宋"/>
                <w:spacing w:val="-8"/>
                <w:sz w:val="28"/>
                <w:lang w:eastAsia="zh-CN"/>
              </w:rPr>
              <w:t>善于综合运用现代信息技术手段和数字资源，教</w:t>
            </w:r>
            <w:r>
              <w:rPr>
                <w:rFonts w:eastAsia="仿宋"/>
                <w:sz w:val="28"/>
                <w:lang w:eastAsia="zh-CN"/>
              </w:rPr>
              <w:t>学方法运用恰当，教学策略使用有效。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7" w:hRule="atLeast"/>
        </w:trPr>
        <w:tc>
          <w:tcPr>
            <w:tcW w:w="1276" w:type="dxa"/>
            <w:vMerge w:val="continue"/>
            <w:tcBorders>
              <w:top w:val="nil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ascii="Times New Roman" w:hAnsi="Times New Roman" w:eastAsia="仿宋" w:cs="Times New Roman"/>
                <w:kern w:val="0"/>
                <w:sz w:val="2"/>
                <w:szCs w:val="2"/>
                <w:lang w:eastAsia="zh-CN"/>
              </w:rPr>
            </w:pPr>
          </w:p>
        </w:tc>
        <w:tc>
          <w:tcPr>
            <w:tcW w:w="992" w:type="dxa"/>
            <w:vMerge w:val="continue"/>
            <w:tcBorders>
              <w:top w:val="nil"/>
            </w:tcBorders>
            <w:vAlign w:val="center"/>
          </w:tcPr>
          <w:p>
            <w:pPr>
              <w:autoSpaceDE w:val="0"/>
              <w:autoSpaceDN w:val="0"/>
              <w:rPr>
                <w:rFonts w:ascii="Times New Roman" w:hAnsi="Times New Roman" w:eastAsia="仿宋" w:cs="Times New Roman"/>
                <w:kern w:val="0"/>
                <w:sz w:val="2"/>
                <w:szCs w:val="2"/>
                <w:lang w:eastAsia="zh-CN"/>
              </w:rPr>
            </w:pPr>
          </w:p>
        </w:tc>
        <w:tc>
          <w:tcPr>
            <w:tcW w:w="6662" w:type="dxa"/>
            <w:gridSpan w:val="2"/>
            <w:vAlign w:val="center"/>
          </w:tcPr>
          <w:p>
            <w:pPr>
              <w:pStyle w:val="23"/>
              <w:spacing w:before="0" w:line="360" w:lineRule="atLeast"/>
              <w:ind w:left="111" w:right="93"/>
              <w:jc w:val="both"/>
              <w:rPr>
                <w:rFonts w:eastAsia="仿宋"/>
                <w:sz w:val="28"/>
                <w:lang w:eastAsia="zh-CN"/>
              </w:rPr>
            </w:pPr>
            <w:r>
              <w:rPr>
                <w:rFonts w:eastAsia="仿宋"/>
                <w:spacing w:val="-12"/>
                <w:sz w:val="28"/>
                <w:lang w:eastAsia="zh-CN"/>
              </w:rPr>
              <w:t>注重教学互动，突出学生主体地位，调动学生参</w:t>
            </w:r>
            <w:r>
              <w:rPr>
                <w:rFonts w:eastAsia="仿宋"/>
                <w:sz w:val="28"/>
                <w:lang w:eastAsia="zh-CN"/>
              </w:rPr>
              <w:t>与课堂积极性。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9" w:hRule="atLeast"/>
        </w:trPr>
        <w:tc>
          <w:tcPr>
            <w:tcW w:w="1276" w:type="dxa"/>
            <w:vMerge w:val="restart"/>
            <w:vAlign w:val="center"/>
          </w:tcPr>
          <w:p>
            <w:pPr>
              <w:pStyle w:val="23"/>
              <w:spacing w:before="0" w:line="175" w:lineRule="auto"/>
              <w:ind w:left="282" w:right="273"/>
              <w:rPr>
                <w:rFonts w:eastAsia="仿宋"/>
                <w:b/>
                <w:sz w:val="28"/>
                <w:lang w:eastAsia="en-US"/>
              </w:rPr>
            </w:pPr>
            <w:r>
              <w:rPr>
                <w:rFonts w:eastAsia="仿宋"/>
                <w:b/>
                <w:spacing w:val="-1"/>
                <w:sz w:val="28"/>
                <w:lang w:eastAsia="en-US"/>
              </w:rPr>
              <w:t>教学效果</w:t>
            </w:r>
          </w:p>
        </w:tc>
        <w:tc>
          <w:tcPr>
            <w:tcW w:w="992" w:type="dxa"/>
            <w:vMerge w:val="restart"/>
            <w:vAlign w:val="center"/>
          </w:tcPr>
          <w:p>
            <w:pPr>
              <w:pStyle w:val="23"/>
              <w:spacing w:before="0"/>
              <w:ind w:left="0"/>
              <w:rPr>
                <w:rFonts w:eastAsia="仿宋"/>
                <w:sz w:val="28"/>
                <w:lang w:eastAsia="en-US"/>
              </w:rPr>
            </w:pPr>
            <w:r>
              <w:rPr>
                <w:rFonts w:eastAsia="仿宋"/>
                <w:sz w:val="28"/>
                <w:lang w:eastAsia="en-US"/>
              </w:rPr>
              <w:t>15%</w:t>
            </w:r>
          </w:p>
        </w:tc>
        <w:tc>
          <w:tcPr>
            <w:tcW w:w="6662" w:type="dxa"/>
            <w:gridSpan w:val="2"/>
            <w:vAlign w:val="center"/>
          </w:tcPr>
          <w:p>
            <w:pPr>
              <w:pStyle w:val="23"/>
              <w:spacing w:before="62"/>
              <w:ind w:left="111" w:right="-44"/>
              <w:jc w:val="both"/>
              <w:rPr>
                <w:rFonts w:eastAsia="仿宋"/>
                <w:sz w:val="28"/>
                <w:lang w:eastAsia="zh-CN"/>
              </w:rPr>
            </w:pPr>
            <w:r>
              <w:rPr>
                <w:rFonts w:eastAsia="仿宋"/>
                <w:sz w:val="28"/>
                <w:lang w:eastAsia="zh-CN"/>
              </w:rPr>
              <w:t>注重知识传授与能力培养，有效达成教学目标，</w:t>
            </w:r>
            <w:r>
              <w:rPr>
                <w:rFonts w:eastAsia="仿宋"/>
                <w:spacing w:val="-137"/>
                <w:sz w:val="28"/>
                <w:lang w:eastAsia="zh-CN"/>
              </w:rPr>
              <w:t xml:space="preserve"> </w:t>
            </w:r>
            <w:r>
              <w:rPr>
                <w:rFonts w:eastAsia="仿宋"/>
                <w:sz w:val="28"/>
                <w:lang w:eastAsia="zh-CN"/>
              </w:rPr>
              <w:t>效果明显，具有较强的示范性。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9" w:hRule="atLeast"/>
        </w:trPr>
        <w:tc>
          <w:tcPr>
            <w:tcW w:w="1276" w:type="dxa"/>
            <w:vMerge w:val="continue"/>
            <w:tcBorders>
              <w:top w:val="nil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ascii="Times New Roman" w:hAnsi="Times New Roman" w:eastAsia="仿宋" w:cs="Times New Roman"/>
                <w:kern w:val="0"/>
                <w:sz w:val="2"/>
                <w:szCs w:val="2"/>
                <w:lang w:eastAsia="zh-CN"/>
              </w:rPr>
            </w:pPr>
          </w:p>
        </w:tc>
        <w:tc>
          <w:tcPr>
            <w:tcW w:w="992" w:type="dxa"/>
            <w:vMerge w:val="continue"/>
            <w:tcBorders>
              <w:top w:val="nil"/>
            </w:tcBorders>
            <w:vAlign w:val="center"/>
          </w:tcPr>
          <w:p>
            <w:pPr>
              <w:autoSpaceDE w:val="0"/>
              <w:autoSpaceDN w:val="0"/>
              <w:rPr>
                <w:rFonts w:ascii="Times New Roman" w:hAnsi="Times New Roman" w:eastAsia="仿宋" w:cs="Times New Roman"/>
                <w:kern w:val="0"/>
                <w:sz w:val="2"/>
                <w:szCs w:val="2"/>
                <w:lang w:eastAsia="zh-CN"/>
              </w:rPr>
            </w:pPr>
          </w:p>
        </w:tc>
        <w:tc>
          <w:tcPr>
            <w:tcW w:w="6662" w:type="dxa"/>
            <w:gridSpan w:val="2"/>
            <w:vAlign w:val="center"/>
          </w:tcPr>
          <w:p>
            <w:pPr>
              <w:pStyle w:val="23"/>
              <w:spacing w:before="0" w:line="360" w:lineRule="atLeast"/>
              <w:ind w:left="111" w:right="90"/>
              <w:jc w:val="both"/>
              <w:rPr>
                <w:rFonts w:eastAsia="仿宋"/>
                <w:sz w:val="28"/>
                <w:lang w:eastAsia="zh-CN"/>
              </w:rPr>
            </w:pPr>
            <w:r>
              <w:rPr>
                <w:rFonts w:eastAsia="仿宋"/>
                <w:spacing w:val="-13"/>
                <w:sz w:val="28"/>
                <w:lang w:eastAsia="zh-CN"/>
              </w:rPr>
              <w:t>教学语言规范、表达流利、教学逻辑严谨，感染</w:t>
            </w:r>
            <w:r>
              <w:rPr>
                <w:rFonts w:eastAsia="仿宋"/>
                <w:sz w:val="28"/>
                <w:lang w:eastAsia="zh-CN"/>
              </w:rPr>
              <w:t>力强，课堂教学气氛好。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5" w:hRule="atLeast"/>
        </w:trPr>
        <w:tc>
          <w:tcPr>
            <w:tcW w:w="1276" w:type="dxa"/>
            <w:vMerge w:val="continue"/>
            <w:tcBorders>
              <w:top w:val="nil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ascii="Times New Roman" w:hAnsi="Times New Roman" w:eastAsia="仿宋" w:cs="Times New Roman"/>
                <w:kern w:val="0"/>
                <w:sz w:val="2"/>
                <w:szCs w:val="2"/>
                <w:lang w:eastAsia="zh-CN"/>
              </w:rPr>
            </w:pPr>
          </w:p>
        </w:tc>
        <w:tc>
          <w:tcPr>
            <w:tcW w:w="992" w:type="dxa"/>
            <w:vMerge w:val="continue"/>
            <w:tcBorders>
              <w:top w:val="nil"/>
            </w:tcBorders>
            <w:vAlign w:val="center"/>
          </w:tcPr>
          <w:p>
            <w:pPr>
              <w:autoSpaceDE w:val="0"/>
              <w:autoSpaceDN w:val="0"/>
              <w:rPr>
                <w:rFonts w:ascii="Times New Roman" w:hAnsi="Times New Roman" w:eastAsia="仿宋" w:cs="Times New Roman"/>
                <w:kern w:val="0"/>
                <w:sz w:val="2"/>
                <w:szCs w:val="2"/>
                <w:lang w:eastAsia="zh-CN"/>
              </w:rPr>
            </w:pPr>
          </w:p>
        </w:tc>
        <w:tc>
          <w:tcPr>
            <w:tcW w:w="6662" w:type="dxa"/>
            <w:gridSpan w:val="2"/>
            <w:vAlign w:val="center"/>
          </w:tcPr>
          <w:p>
            <w:pPr>
              <w:pStyle w:val="23"/>
              <w:spacing w:before="0" w:line="360" w:lineRule="atLeast"/>
              <w:ind w:left="111" w:right="90"/>
              <w:jc w:val="both"/>
              <w:rPr>
                <w:rFonts w:eastAsia="仿宋"/>
                <w:sz w:val="28"/>
                <w:lang w:eastAsia="zh-CN"/>
              </w:rPr>
            </w:pPr>
            <w:r>
              <w:rPr>
                <w:rFonts w:eastAsia="仿宋"/>
                <w:spacing w:val="-10"/>
                <w:sz w:val="28"/>
                <w:lang w:eastAsia="zh-CN"/>
              </w:rPr>
              <w:t>能够为学生搭建课外学习平台，引导学生进行自</w:t>
            </w:r>
            <w:r>
              <w:rPr>
                <w:rFonts w:eastAsia="仿宋"/>
                <w:sz w:val="28"/>
                <w:lang w:eastAsia="zh-CN"/>
              </w:rPr>
              <w:t>主学习和自主评价。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26" w:hRule="atLeast"/>
        </w:trPr>
        <w:tc>
          <w:tcPr>
            <w:tcW w:w="1276" w:type="dxa"/>
            <w:vAlign w:val="center"/>
          </w:tcPr>
          <w:p>
            <w:pPr>
              <w:pStyle w:val="23"/>
              <w:spacing w:before="141" w:line="175" w:lineRule="auto"/>
              <w:ind w:left="141" w:right="134"/>
              <w:rPr>
                <w:rFonts w:eastAsia="仿宋"/>
                <w:b/>
                <w:spacing w:val="-1"/>
                <w:sz w:val="28"/>
                <w:lang w:eastAsia="zh-CN"/>
              </w:rPr>
            </w:pPr>
            <w:r>
              <w:rPr>
                <w:rFonts w:eastAsia="仿宋"/>
                <w:b/>
                <w:spacing w:val="-1"/>
                <w:sz w:val="28"/>
                <w:lang w:eastAsia="en-US"/>
              </w:rPr>
              <w:t>教师素</w:t>
            </w:r>
          </w:p>
          <w:p>
            <w:pPr>
              <w:pStyle w:val="23"/>
              <w:spacing w:before="141" w:line="175" w:lineRule="auto"/>
              <w:ind w:left="141" w:right="134"/>
              <w:rPr>
                <w:rFonts w:eastAsia="仿宋"/>
                <w:b/>
                <w:spacing w:val="-1"/>
                <w:sz w:val="28"/>
                <w:lang w:eastAsia="zh-CN"/>
              </w:rPr>
            </w:pPr>
            <w:r>
              <w:rPr>
                <w:rFonts w:eastAsia="仿宋"/>
                <w:b/>
                <w:spacing w:val="-1"/>
                <w:sz w:val="28"/>
                <w:lang w:eastAsia="en-US"/>
              </w:rPr>
              <w:t>养与特</w:t>
            </w:r>
          </w:p>
          <w:p>
            <w:pPr>
              <w:pStyle w:val="23"/>
              <w:spacing w:before="141" w:line="175" w:lineRule="auto"/>
              <w:ind w:left="141" w:right="134"/>
              <w:rPr>
                <w:rFonts w:eastAsia="仿宋"/>
                <w:b/>
                <w:sz w:val="28"/>
                <w:lang w:eastAsia="en-US"/>
              </w:rPr>
            </w:pPr>
            <w:r>
              <w:rPr>
                <w:rFonts w:eastAsia="仿宋"/>
                <w:b/>
                <w:spacing w:val="-1"/>
                <w:sz w:val="28"/>
                <w:lang w:eastAsia="en-US"/>
              </w:rPr>
              <w:t>色创新</w:t>
            </w:r>
          </w:p>
        </w:tc>
        <w:tc>
          <w:tcPr>
            <w:tcW w:w="992" w:type="dxa"/>
            <w:vAlign w:val="center"/>
          </w:tcPr>
          <w:p>
            <w:pPr>
              <w:pStyle w:val="23"/>
              <w:spacing w:before="0"/>
              <w:ind w:left="196" w:right="179"/>
              <w:rPr>
                <w:rFonts w:eastAsia="仿宋"/>
                <w:sz w:val="28"/>
                <w:lang w:eastAsia="en-US"/>
              </w:rPr>
            </w:pPr>
            <w:r>
              <w:rPr>
                <w:rFonts w:eastAsia="仿宋"/>
                <w:sz w:val="28"/>
                <w:lang w:eastAsia="en-US"/>
              </w:rPr>
              <w:t>15%</w:t>
            </w:r>
          </w:p>
        </w:tc>
        <w:tc>
          <w:tcPr>
            <w:tcW w:w="6662" w:type="dxa"/>
            <w:gridSpan w:val="2"/>
            <w:vAlign w:val="center"/>
          </w:tcPr>
          <w:p>
            <w:pPr>
              <w:pStyle w:val="23"/>
              <w:spacing w:before="132"/>
              <w:ind w:left="111" w:right="93"/>
              <w:jc w:val="both"/>
              <w:rPr>
                <w:rFonts w:eastAsia="仿宋"/>
                <w:sz w:val="28"/>
                <w:lang w:eastAsia="zh-CN"/>
              </w:rPr>
            </w:pPr>
            <w:r>
              <w:rPr>
                <w:rFonts w:eastAsia="仿宋"/>
                <w:spacing w:val="-13"/>
                <w:sz w:val="28"/>
                <w:lang w:eastAsia="zh-CN"/>
              </w:rPr>
              <w:t>具有良好的专业素养、科学精神、人文情怀、国际视野；教态大方，举止得体，精神饱满，综合</w:t>
            </w:r>
            <w:r>
              <w:rPr>
                <w:rFonts w:eastAsia="仿宋"/>
                <w:sz w:val="28"/>
                <w:lang w:eastAsia="zh-CN"/>
              </w:rPr>
              <w:t>素质高；个人教学特色突出。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3" w:hRule="atLeast"/>
        </w:trPr>
        <w:tc>
          <w:tcPr>
            <w:tcW w:w="3619" w:type="dxa"/>
            <w:gridSpan w:val="3"/>
            <w:vAlign w:val="center"/>
          </w:tcPr>
          <w:p>
            <w:pPr>
              <w:pStyle w:val="23"/>
              <w:spacing w:before="96"/>
              <w:ind w:left="248" w:right="240"/>
              <w:rPr>
                <w:rFonts w:eastAsia="仿宋"/>
                <w:sz w:val="28"/>
                <w:lang w:eastAsia="en-US"/>
              </w:rPr>
            </w:pPr>
            <w:r>
              <w:rPr>
                <w:rFonts w:eastAsia="仿宋"/>
                <w:spacing w:val="46"/>
                <w:sz w:val="28"/>
                <w:lang w:eastAsia="en-US"/>
              </w:rPr>
              <w:t>总 分</w:t>
            </w:r>
          </w:p>
          <w:p>
            <w:pPr>
              <w:pStyle w:val="23"/>
              <w:spacing w:before="6"/>
              <w:ind w:left="248" w:right="240"/>
              <w:rPr>
                <w:rFonts w:eastAsia="仿宋"/>
                <w:sz w:val="24"/>
                <w:lang w:eastAsia="en-US"/>
              </w:rPr>
            </w:pPr>
            <w:r>
              <w:rPr>
                <w:rFonts w:eastAsia="仿宋"/>
                <w:sz w:val="24"/>
                <w:lang w:eastAsia="en-US"/>
              </w:rPr>
              <w:t>（</w:t>
            </w:r>
            <w:r>
              <w:rPr>
                <w:rFonts w:eastAsia="仿宋"/>
                <w:spacing w:val="-20"/>
                <w:sz w:val="24"/>
                <w:lang w:eastAsia="en-US"/>
              </w:rPr>
              <w:t xml:space="preserve">满分 </w:t>
            </w:r>
            <w:r>
              <w:rPr>
                <w:rFonts w:eastAsia="仿宋"/>
                <w:sz w:val="24"/>
                <w:lang w:eastAsia="en-US"/>
              </w:rPr>
              <w:t>100 分）</w:t>
            </w:r>
          </w:p>
        </w:tc>
        <w:tc>
          <w:tcPr>
            <w:tcW w:w="5311" w:type="dxa"/>
            <w:vAlign w:val="center"/>
          </w:tcPr>
          <w:p>
            <w:pPr>
              <w:pStyle w:val="23"/>
              <w:spacing w:before="0"/>
              <w:ind w:left="0"/>
              <w:rPr>
                <w:rFonts w:eastAsia="仿宋"/>
                <w:sz w:val="28"/>
                <w:lang w:eastAsia="en-US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3" w:hRule="atLeast"/>
        </w:trPr>
        <w:tc>
          <w:tcPr>
            <w:tcW w:w="3619" w:type="dxa"/>
            <w:gridSpan w:val="3"/>
            <w:vAlign w:val="center"/>
          </w:tcPr>
          <w:p>
            <w:pPr>
              <w:pStyle w:val="23"/>
              <w:spacing w:before="96"/>
              <w:ind w:left="248" w:right="236"/>
              <w:rPr>
                <w:rFonts w:eastAsia="仿宋"/>
                <w:sz w:val="28"/>
                <w:lang w:eastAsia="zh-CN"/>
              </w:rPr>
            </w:pPr>
            <w:r>
              <w:rPr>
                <w:rFonts w:eastAsia="仿宋"/>
                <w:sz w:val="28"/>
                <w:lang w:eastAsia="zh-CN"/>
              </w:rPr>
              <w:t>评审意见</w:t>
            </w:r>
          </w:p>
          <w:p>
            <w:pPr>
              <w:pStyle w:val="23"/>
              <w:spacing w:before="6"/>
              <w:ind w:left="248" w:right="240"/>
              <w:rPr>
                <w:rFonts w:eastAsia="仿宋"/>
                <w:sz w:val="24"/>
                <w:lang w:eastAsia="zh-CN"/>
              </w:rPr>
            </w:pPr>
            <w:r>
              <w:rPr>
                <w:rFonts w:eastAsia="仿宋"/>
                <w:sz w:val="24"/>
                <w:lang w:eastAsia="zh-CN"/>
              </w:rPr>
              <w:t>（</w:t>
            </w:r>
            <w:r>
              <w:rPr>
                <w:rFonts w:eastAsia="仿宋"/>
                <w:spacing w:val="-12"/>
                <w:sz w:val="24"/>
                <w:lang w:eastAsia="zh-CN"/>
              </w:rPr>
              <w:t xml:space="preserve">总分低于 </w:t>
            </w:r>
            <w:r>
              <w:rPr>
                <w:rFonts w:eastAsia="仿宋"/>
                <w:sz w:val="24"/>
                <w:lang w:eastAsia="zh-CN"/>
              </w:rPr>
              <w:t>60 分必须填写）</w:t>
            </w:r>
          </w:p>
        </w:tc>
        <w:tc>
          <w:tcPr>
            <w:tcW w:w="5311" w:type="dxa"/>
            <w:vAlign w:val="center"/>
          </w:tcPr>
          <w:p>
            <w:pPr>
              <w:pStyle w:val="23"/>
              <w:spacing w:before="0"/>
              <w:ind w:left="0"/>
              <w:rPr>
                <w:rFonts w:eastAsia="仿宋"/>
                <w:sz w:val="28"/>
                <w:lang w:eastAsia="zh-CN"/>
              </w:rPr>
            </w:pPr>
          </w:p>
        </w:tc>
      </w:tr>
    </w:tbl>
    <w:p>
      <w:pPr>
        <w:pStyle w:val="4"/>
        <w:spacing w:before="49"/>
        <w:rPr>
          <w:rFonts w:ascii="Times New Roman" w:hAnsi="Times New Roman" w:eastAsia="黑体" w:cs="Times New Roman"/>
          <w:color w:val="000000"/>
        </w:rPr>
      </w:pPr>
    </w:p>
    <w:sectPr>
      <w:footerReference r:id="rId3" w:type="default"/>
      <w:pgSz w:w="11910" w:h="16840"/>
      <w:pgMar w:top="1480" w:right="618" w:bottom="1378" w:left="561" w:header="0" w:footer="1111" w:gutter="0"/>
      <w:cols w:space="425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Dc4NDdlNzlkOTVlMGEyMGM2MGI0ZWY4MjZkZjVjZjMifQ=="/>
  </w:docVars>
  <w:rsids>
    <w:rsidRoot w:val="00116222"/>
    <w:rsid w:val="00037187"/>
    <w:rsid w:val="00040869"/>
    <w:rsid w:val="000659D4"/>
    <w:rsid w:val="00067CBC"/>
    <w:rsid w:val="000B34BF"/>
    <w:rsid w:val="000B70CE"/>
    <w:rsid w:val="00104A16"/>
    <w:rsid w:val="00116222"/>
    <w:rsid w:val="001374F5"/>
    <w:rsid w:val="001545D9"/>
    <w:rsid w:val="00160ABE"/>
    <w:rsid w:val="00163683"/>
    <w:rsid w:val="0016792D"/>
    <w:rsid w:val="00173F35"/>
    <w:rsid w:val="00174ADA"/>
    <w:rsid w:val="00196B5F"/>
    <w:rsid w:val="001A41E7"/>
    <w:rsid w:val="00202233"/>
    <w:rsid w:val="00204065"/>
    <w:rsid w:val="00210AA2"/>
    <w:rsid w:val="00231F73"/>
    <w:rsid w:val="00255F6F"/>
    <w:rsid w:val="002752D1"/>
    <w:rsid w:val="002A3DEC"/>
    <w:rsid w:val="002A7330"/>
    <w:rsid w:val="002F405E"/>
    <w:rsid w:val="002F6443"/>
    <w:rsid w:val="002F73C7"/>
    <w:rsid w:val="00310B2B"/>
    <w:rsid w:val="003265C8"/>
    <w:rsid w:val="00331898"/>
    <w:rsid w:val="003357FB"/>
    <w:rsid w:val="0034009B"/>
    <w:rsid w:val="00362CBE"/>
    <w:rsid w:val="003A118A"/>
    <w:rsid w:val="003A55D2"/>
    <w:rsid w:val="003F3A76"/>
    <w:rsid w:val="0045405E"/>
    <w:rsid w:val="004861B7"/>
    <w:rsid w:val="004A5F94"/>
    <w:rsid w:val="004C6B05"/>
    <w:rsid w:val="00507A07"/>
    <w:rsid w:val="00507BA3"/>
    <w:rsid w:val="00532F54"/>
    <w:rsid w:val="00535BC0"/>
    <w:rsid w:val="005708FE"/>
    <w:rsid w:val="0059029C"/>
    <w:rsid w:val="005B6725"/>
    <w:rsid w:val="005F5152"/>
    <w:rsid w:val="00603B62"/>
    <w:rsid w:val="0060752F"/>
    <w:rsid w:val="00607A51"/>
    <w:rsid w:val="0062002C"/>
    <w:rsid w:val="006245D5"/>
    <w:rsid w:val="00635DF1"/>
    <w:rsid w:val="00665F85"/>
    <w:rsid w:val="006731F4"/>
    <w:rsid w:val="006A5515"/>
    <w:rsid w:val="006E1C77"/>
    <w:rsid w:val="006E5069"/>
    <w:rsid w:val="006E745D"/>
    <w:rsid w:val="00734ABF"/>
    <w:rsid w:val="007641C9"/>
    <w:rsid w:val="00797D38"/>
    <w:rsid w:val="007A2B50"/>
    <w:rsid w:val="007A2BEE"/>
    <w:rsid w:val="007A39E2"/>
    <w:rsid w:val="007B1B3D"/>
    <w:rsid w:val="007B59D3"/>
    <w:rsid w:val="007C4042"/>
    <w:rsid w:val="007D0D71"/>
    <w:rsid w:val="007D6599"/>
    <w:rsid w:val="00821D87"/>
    <w:rsid w:val="00835039"/>
    <w:rsid w:val="00841A0D"/>
    <w:rsid w:val="0086247E"/>
    <w:rsid w:val="00895A31"/>
    <w:rsid w:val="008B3613"/>
    <w:rsid w:val="008C2C86"/>
    <w:rsid w:val="008C6BD0"/>
    <w:rsid w:val="00910292"/>
    <w:rsid w:val="00951069"/>
    <w:rsid w:val="00955926"/>
    <w:rsid w:val="00976341"/>
    <w:rsid w:val="009B39BF"/>
    <w:rsid w:val="009E68BF"/>
    <w:rsid w:val="009F6CD0"/>
    <w:rsid w:val="00A11F49"/>
    <w:rsid w:val="00A16139"/>
    <w:rsid w:val="00A31702"/>
    <w:rsid w:val="00A640A6"/>
    <w:rsid w:val="00A655EA"/>
    <w:rsid w:val="00A67FB7"/>
    <w:rsid w:val="00AD2A63"/>
    <w:rsid w:val="00AE1627"/>
    <w:rsid w:val="00AF3741"/>
    <w:rsid w:val="00B20D16"/>
    <w:rsid w:val="00B65AAA"/>
    <w:rsid w:val="00B91EF8"/>
    <w:rsid w:val="00B96B10"/>
    <w:rsid w:val="00BA3101"/>
    <w:rsid w:val="00BA37A0"/>
    <w:rsid w:val="00C23E23"/>
    <w:rsid w:val="00C25361"/>
    <w:rsid w:val="00C253EB"/>
    <w:rsid w:val="00C32558"/>
    <w:rsid w:val="00C7384F"/>
    <w:rsid w:val="00C918E9"/>
    <w:rsid w:val="00C93A65"/>
    <w:rsid w:val="00C9453D"/>
    <w:rsid w:val="00C9653E"/>
    <w:rsid w:val="00C97573"/>
    <w:rsid w:val="00CA24DC"/>
    <w:rsid w:val="00CB466B"/>
    <w:rsid w:val="00CB54E8"/>
    <w:rsid w:val="00CE78C8"/>
    <w:rsid w:val="00D0207D"/>
    <w:rsid w:val="00D15DE6"/>
    <w:rsid w:val="00D22442"/>
    <w:rsid w:val="00D34EF5"/>
    <w:rsid w:val="00D46111"/>
    <w:rsid w:val="00D55006"/>
    <w:rsid w:val="00D81F3A"/>
    <w:rsid w:val="00D825B3"/>
    <w:rsid w:val="00D93AA2"/>
    <w:rsid w:val="00DA009F"/>
    <w:rsid w:val="00DD21C6"/>
    <w:rsid w:val="00E156BB"/>
    <w:rsid w:val="00E334F5"/>
    <w:rsid w:val="00E604C5"/>
    <w:rsid w:val="00E974D4"/>
    <w:rsid w:val="00EB3D34"/>
    <w:rsid w:val="00EB52D4"/>
    <w:rsid w:val="00F13214"/>
    <w:rsid w:val="00F17DAF"/>
    <w:rsid w:val="00F34877"/>
    <w:rsid w:val="00F807BB"/>
    <w:rsid w:val="00F9023F"/>
    <w:rsid w:val="00FA75A1"/>
    <w:rsid w:val="00FE0852"/>
    <w:rsid w:val="72AD7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link w:val="18"/>
    <w:qFormat/>
    <w:uiPriority w:val="9"/>
    <w:pPr>
      <w:autoSpaceDE w:val="0"/>
      <w:autoSpaceDN w:val="0"/>
      <w:spacing w:before="127"/>
      <w:ind w:left="58"/>
      <w:jc w:val="left"/>
      <w:outlineLvl w:val="0"/>
    </w:pPr>
    <w:rPr>
      <w:rFonts w:ascii="Microsoft YaHei UI" w:hAnsi="Microsoft YaHei UI" w:eastAsia="Microsoft YaHei UI" w:cs="Microsoft YaHei UI"/>
      <w:b/>
      <w:bCs/>
      <w:kern w:val="0"/>
      <w:sz w:val="32"/>
      <w:szCs w:val="32"/>
    </w:rPr>
  </w:style>
  <w:style w:type="character" w:default="1" w:styleId="12">
    <w:name w:val="Default Paragraph Font"/>
    <w:autoRedefine/>
    <w:semiHidden/>
    <w:unhideWhenUsed/>
    <w:uiPriority w:val="1"/>
  </w:style>
  <w:style w:type="table" w:default="1" w:styleId="10">
    <w:name w:val="Normal Table"/>
    <w:autoRedefine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24"/>
    <w:autoRedefine/>
    <w:semiHidden/>
    <w:unhideWhenUsed/>
    <w:uiPriority w:val="99"/>
    <w:pPr>
      <w:jc w:val="left"/>
    </w:pPr>
  </w:style>
  <w:style w:type="paragraph" w:styleId="4">
    <w:name w:val="Body Text"/>
    <w:basedOn w:val="1"/>
    <w:link w:val="20"/>
    <w:autoRedefine/>
    <w:qFormat/>
    <w:uiPriority w:val="1"/>
    <w:pPr>
      <w:autoSpaceDE w:val="0"/>
      <w:autoSpaceDN w:val="0"/>
      <w:jc w:val="left"/>
    </w:pPr>
    <w:rPr>
      <w:rFonts w:ascii="宋体" w:hAnsi="宋体" w:eastAsia="宋体" w:cs="宋体"/>
      <w:kern w:val="0"/>
      <w:sz w:val="32"/>
      <w:szCs w:val="32"/>
    </w:rPr>
  </w:style>
  <w:style w:type="paragraph" w:styleId="5">
    <w:name w:val="Balloon Text"/>
    <w:basedOn w:val="1"/>
    <w:link w:val="27"/>
    <w:autoRedefine/>
    <w:semiHidden/>
    <w:unhideWhenUsed/>
    <w:uiPriority w:val="99"/>
    <w:rPr>
      <w:sz w:val="18"/>
      <w:szCs w:val="18"/>
    </w:rPr>
  </w:style>
  <w:style w:type="paragraph" w:styleId="6">
    <w:name w:val="footer"/>
    <w:basedOn w:val="1"/>
    <w:link w:val="16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5"/>
    <w:autoRedefine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Title"/>
    <w:basedOn w:val="1"/>
    <w:link w:val="21"/>
    <w:autoRedefine/>
    <w:qFormat/>
    <w:uiPriority w:val="10"/>
    <w:pPr>
      <w:autoSpaceDE w:val="0"/>
      <w:autoSpaceDN w:val="0"/>
      <w:spacing w:line="988" w:lineRule="exact"/>
      <w:ind w:left="524" w:right="663"/>
      <w:jc w:val="center"/>
    </w:pPr>
    <w:rPr>
      <w:rFonts w:ascii="宋体" w:hAnsi="宋体" w:eastAsia="宋体" w:cs="宋体"/>
      <w:kern w:val="0"/>
      <w:sz w:val="82"/>
      <w:szCs w:val="82"/>
    </w:rPr>
  </w:style>
  <w:style w:type="paragraph" w:styleId="9">
    <w:name w:val="annotation subject"/>
    <w:basedOn w:val="3"/>
    <w:next w:val="3"/>
    <w:link w:val="25"/>
    <w:autoRedefine/>
    <w:semiHidden/>
    <w:unhideWhenUsed/>
    <w:uiPriority w:val="99"/>
    <w:rPr>
      <w:b/>
      <w:bCs/>
    </w:rPr>
  </w:style>
  <w:style w:type="table" w:styleId="11">
    <w:name w:val="Table Grid"/>
    <w:basedOn w:val="10"/>
    <w:autoRedefine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page number"/>
    <w:basedOn w:val="12"/>
    <w:autoRedefine/>
    <w:semiHidden/>
    <w:unhideWhenUsed/>
    <w:uiPriority w:val="99"/>
  </w:style>
  <w:style w:type="character" w:styleId="14">
    <w:name w:val="annotation reference"/>
    <w:basedOn w:val="12"/>
    <w:autoRedefine/>
    <w:semiHidden/>
    <w:unhideWhenUsed/>
    <w:uiPriority w:val="99"/>
    <w:rPr>
      <w:sz w:val="21"/>
      <w:szCs w:val="21"/>
    </w:rPr>
  </w:style>
  <w:style w:type="character" w:customStyle="1" w:styleId="15">
    <w:name w:val="页眉 字符"/>
    <w:basedOn w:val="12"/>
    <w:link w:val="7"/>
    <w:autoRedefine/>
    <w:uiPriority w:val="99"/>
    <w:rPr>
      <w:sz w:val="18"/>
      <w:szCs w:val="18"/>
    </w:rPr>
  </w:style>
  <w:style w:type="character" w:customStyle="1" w:styleId="16">
    <w:name w:val="页脚 字符"/>
    <w:basedOn w:val="12"/>
    <w:link w:val="6"/>
    <w:autoRedefine/>
    <w:uiPriority w:val="99"/>
    <w:rPr>
      <w:sz w:val="18"/>
      <w:szCs w:val="18"/>
    </w:rPr>
  </w:style>
  <w:style w:type="paragraph" w:customStyle="1" w:styleId="17">
    <w:name w:val="Default"/>
    <w:uiPriority w:val="0"/>
    <w:pPr>
      <w:widowControl w:val="0"/>
      <w:autoSpaceDE w:val="0"/>
      <w:autoSpaceDN w:val="0"/>
      <w:adjustRightInd w:val="0"/>
    </w:pPr>
    <w:rPr>
      <w:rFonts w:ascii="华文中宋" w:eastAsia="华文中宋" w:cs="华文中宋" w:hAnsiTheme="minorHAnsi"/>
      <w:color w:val="000000"/>
      <w:kern w:val="0"/>
      <w:sz w:val="24"/>
      <w:szCs w:val="24"/>
      <w:lang w:val="en-US" w:eastAsia="zh-CN" w:bidi="ar-SA"/>
    </w:rPr>
  </w:style>
  <w:style w:type="character" w:customStyle="1" w:styleId="18">
    <w:name w:val="标题 1 字符"/>
    <w:basedOn w:val="12"/>
    <w:link w:val="2"/>
    <w:autoRedefine/>
    <w:uiPriority w:val="9"/>
    <w:rPr>
      <w:rFonts w:ascii="Microsoft YaHei UI" w:hAnsi="Microsoft YaHei UI" w:eastAsia="Microsoft YaHei UI" w:cs="Microsoft YaHei UI"/>
      <w:b/>
      <w:bCs/>
      <w:kern w:val="0"/>
      <w:sz w:val="32"/>
      <w:szCs w:val="32"/>
    </w:rPr>
  </w:style>
  <w:style w:type="table" w:customStyle="1" w:styleId="19">
    <w:name w:val="Table Normal"/>
    <w:autoRedefine/>
    <w:semiHidden/>
    <w:unhideWhenUsed/>
    <w:qFormat/>
    <w:uiPriority w:val="2"/>
    <w:pPr>
      <w:widowControl w:val="0"/>
      <w:autoSpaceDE w:val="0"/>
      <w:autoSpaceDN w:val="0"/>
    </w:pPr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0">
    <w:name w:val="正文文本 字符"/>
    <w:basedOn w:val="12"/>
    <w:link w:val="4"/>
    <w:autoRedefine/>
    <w:uiPriority w:val="1"/>
    <w:rPr>
      <w:rFonts w:ascii="宋体" w:hAnsi="宋体" w:eastAsia="宋体" w:cs="宋体"/>
      <w:kern w:val="0"/>
      <w:sz w:val="32"/>
      <w:szCs w:val="32"/>
    </w:rPr>
  </w:style>
  <w:style w:type="character" w:customStyle="1" w:styleId="21">
    <w:name w:val="标题 字符"/>
    <w:basedOn w:val="12"/>
    <w:link w:val="8"/>
    <w:autoRedefine/>
    <w:uiPriority w:val="10"/>
    <w:rPr>
      <w:rFonts w:ascii="宋体" w:hAnsi="宋体" w:eastAsia="宋体" w:cs="宋体"/>
      <w:kern w:val="0"/>
      <w:sz w:val="82"/>
      <w:szCs w:val="82"/>
    </w:rPr>
  </w:style>
  <w:style w:type="paragraph" w:styleId="22">
    <w:name w:val="List Paragraph"/>
    <w:basedOn w:val="1"/>
    <w:autoRedefine/>
    <w:qFormat/>
    <w:uiPriority w:val="1"/>
    <w:pPr>
      <w:autoSpaceDE w:val="0"/>
      <w:autoSpaceDN w:val="0"/>
      <w:ind w:left="122" w:firstLine="559"/>
      <w:jc w:val="left"/>
    </w:pPr>
    <w:rPr>
      <w:rFonts w:ascii="宋体" w:hAnsi="宋体" w:eastAsia="宋体" w:cs="宋体"/>
      <w:kern w:val="0"/>
      <w:sz w:val="22"/>
    </w:rPr>
  </w:style>
  <w:style w:type="paragraph" w:customStyle="1" w:styleId="23">
    <w:name w:val="Table Paragraph"/>
    <w:basedOn w:val="1"/>
    <w:autoRedefine/>
    <w:qFormat/>
    <w:uiPriority w:val="1"/>
    <w:pPr>
      <w:autoSpaceDE w:val="0"/>
      <w:autoSpaceDN w:val="0"/>
      <w:spacing w:before="26"/>
      <w:ind w:left="205"/>
      <w:jc w:val="center"/>
    </w:pPr>
    <w:rPr>
      <w:rFonts w:ascii="Times New Roman" w:hAnsi="Times New Roman" w:eastAsia="Times New Roman" w:cs="Times New Roman"/>
      <w:kern w:val="0"/>
      <w:sz w:val="22"/>
    </w:rPr>
  </w:style>
  <w:style w:type="character" w:customStyle="1" w:styleId="24">
    <w:name w:val="批注文字 字符"/>
    <w:basedOn w:val="12"/>
    <w:link w:val="3"/>
    <w:autoRedefine/>
    <w:semiHidden/>
    <w:uiPriority w:val="99"/>
  </w:style>
  <w:style w:type="character" w:customStyle="1" w:styleId="25">
    <w:name w:val="批注主题 字符"/>
    <w:basedOn w:val="24"/>
    <w:link w:val="9"/>
    <w:autoRedefine/>
    <w:semiHidden/>
    <w:uiPriority w:val="99"/>
    <w:rPr>
      <w:b/>
      <w:bCs/>
    </w:rPr>
  </w:style>
  <w:style w:type="paragraph" w:customStyle="1" w:styleId="26">
    <w:name w:val="Revision"/>
    <w:autoRedefine/>
    <w:hidden/>
    <w:semiHidden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customStyle="1" w:styleId="27">
    <w:name w:val="批注框文本 字符"/>
    <w:basedOn w:val="12"/>
    <w:link w:val="5"/>
    <w:autoRedefine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8AA275-D70A-4401-9AB5-E158EB65A7C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169</Words>
  <Characters>969</Characters>
  <Lines>8</Lines>
  <Paragraphs>2</Paragraphs>
  <TotalTime>18</TotalTime>
  <ScaleCrop>false</ScaleCrop>
  <LinksUpToDate>false</LinksUpToDate>
  <CharactersWithSpaces>1136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2024-04-29T07:30:00Z</dcterms:created>
  <dc:creator>宁 施</dc:creator>
  <cp:lastModifiedBy>金政</cp:lastModifiedBy>
  <dcterms:modified xsi:type="dcterms:W3CDTF">2024-04-30T05:48:40Z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16020841CDAD497A8B457AAE4F6E5839_12</vt:lpwstr>
  </property>
</Properties>
</file>