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40" w:lineRule="exact"/>
        <w:jc w:val="left"/>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附件</w:t>
      </w:r>
      <w:r>
        <w:rPr>
          <w:rFonts w:hint="eastAsia" w:ascii="仿宋_GB2312" w:hAnsi="仿宋_GB2312" w:eastAsia="仿宋_GB2312" w:cs="仿宋_GB2312"/>
          <w:sz w:val="28"/>
          <w:szCs w:val="28"/>
        </w:rPr>
        <w:t>3</w:t>
      </w:r>
      <w:r>
        <w:rPr>
          <w:rFonts w:hint="eastAsia" w:ascii="仿宋_GB2312" w:hAnsi="仿宋_GB2312" w:eastAsia="仿宋_GB2312" w:cs="仿宋_GB2312"/>
          <w:sz w:val="28"/>
          <w:szCs w:val="28"/>
          <w:lang w:val="en-US" w:eastAsia="zh-CN"/>
        </w:rPr>
        <w:t>-1</w:t>
      </w:r>
    </w:p>
    <w:p>
      <w:pPr>
        <w:keepNext w:val="0"/>
        <w:keepLines w:val="0"/>
        <w:pageBreakBefore w:val="0"/>
        <w:widowControl w:val="0"/>
        <w:numPr>
          <w:ilvl w:val="0"/>
          <w:numId w:val="1"/>
        </w:numPr>
        <w:kinsoku/>
        <w:wordWrap/>
        <w:overflowPunct/>
        <w:topLinePunct w:val="0"/>
        <w:autoSpaceDE/>
        <w:autoSpaceDN/>
        <w:bidi w:val="0"/>
        <w:adjustRightInd/>
        <w:snapToGrid/>
        <w:spacing w:before="156" w:beforeLines="50" w:after="313" w:afterLines="100" w:line="440" w:lineRule="exact"/>
        <w:jc w:val="center"/>
        <w:textAlignment w:val="auto"/>
        <w:rPr>
          <w:rFonts w:hint="eastAsia" w:ascii="黑体" w:eastAsia="黑体"/>
          <w:sz w:val="32"/>
          <w:szCs w:val="32"/>
          <w:lang w:eastAsia="zh-CN"/>
        </w:rPr>
      </w:pPr>
      <w:r>
        <w:rPr>
          <w:rFonts w:hint="eastAsia" w:ascii="黑体" w:eastAsia="黑体"/>
          <w:sz w:val="32"/>
          <w:szCs w:val="32"/>
          <w:lang w:eastAsia="zh-CN"/>
        </w:rPr>
        <w:t>“</w:t>
      </w:r>
      <w:r>
        <w:rPr>
          <w:rFonts w:hint="eastAsia" w:ascii="黑体" w:eastAsia="黑体"/>
          <w:sz w:val="32"/>
          <w:szCs w:val="32"/>
        </w:rPr>
        <w:t>课程思政</w:t>
      </w:r>
      <w:r>
        <w:rPr>
          <w:rFonts w:hint="eastAsia" w:ascii="黑体" w:eastAsia="黑体"/>
          <w:sz w:val="32"/>
          <w:szCs w:val="32"/>
          <w:lang w:eastAsia="zh-CN"/>
        </w:rPr>
        <w:t>”教学设计方案</w:t>
      </w:r>
      <w:r>
        <w:rPr>
          <w:rFonts w:hint="eastAsia" w:ascii="黑体" w:eastAsia="黑体"/>
          <w:sz w:val="32"/>
          <w:szCs w:val="32"/>
        </w:rPr>
        <w:t>评</w:t>
      </w:r>
      <w:r>
        <w:rPr>
          <w:rFonts w:hint="eastAsia" w:ascii="黑体" w:eastAsia="黑体"/>
          <w:sz w:val="32"/>
          <w:szCs w:val="32"/>
          <w:lang w:eastAsia="zh-CN"/>
        </w:rPr>
        <w:t>价</w:t>
      </w:r>
      <w:r>
        <w:rPr>
          <w:rFonts w:hint="eastAsia" w:ascii="黑体" w:eastAsia="黑体"/>
          <w:sz w:val="32"/>
          <w:szCs w:val="32"/>
        </w:rPr>
        <w:t>标准</w:t>
      </w:r>
      <w:r>
        <w:rPr>
          <w:rFonts w:hint="eastAsia" w:ascii="黑体" w:eastAsia="黑体"/>
          <w:sz w:val="32"/>
          <w:szCs w:val="32"/>
          <w:lang w:eastAsia="zh-CN"/>
        </w:rPr>
        <w:t>及评分表</w:t>
      </w:r>
    </w:p>
    <w:p>
      <w:pPr>
        <w:keepNext w:val="0"/>
        <w:keepLines w:val="0"/>
        <w:pageBreakBefore w:val="0"/>
        <w:widowControl w:val="0"/>
        <w:numPr>
          <w:ilvl w:val="0"/>
          <w:numId w:val="0"/>
        </w:numPr>
        <w:kinsoku/>
        <w:wordWrap/>
        <w:overflowPunct/>
        <w:topLinePunct w:val="0"/>
        <w:autoSpaceDE/>
        <w:autoSpaceDN/>
        <w:bidi w:val="0"/>
        <w:adjustRightInd/>
        <w:snapToGrid/>
        <w:spacing w:before="156" w:beforeLines="50" w:line="240" w:lineRule="auto"/>
        <w:ind w:firstLine="1440" w:firstLineChars="600"/>
        <w:jc w:val="both"/>
        <w:textAlignment w:val="auto"/>
        <w:rPr>
          <w:rFonts w:hint="eastAsia" w:ascii="黑体" w:eastAsia="黑体"/>
          <w:sz w:val="32"/>
          <w:szCs w:val="32"/>
          <w:lang w:eastAsia="zh-CN"/>
        </w:rPr>
      </w:pPr>
      <w:r>
        <w:rPr>
          <w:rFonts w:hint="eastAsia" w:ascii="黑体" w:eastAsia="黑体"/>
          <w:sz w:val="24"/>
          <w:szCs w:val="24"/>
          <w:lang w:eastAsia="zh-CN"/>
        </w:rPr>
        <w:t>序号</w:t>
      </w:r>
      <w:r>
        <w:rPr>
          <w:rFonts w:hint="eastAsia" w:ascii="黑体" w:eastAsia="黑体"/>
          <w:sz w:val="24"/>
          <w:szCs w:val="24"/>
          <w:u w:val="single"/>
          <w:lang w:val="en-US" w:eastAsia="zh-CN"/>
        </w:rPr>
        <w:t xml:space="preserve">         </w:t>
      </w:r>
      <w:r>
        <w:rPr>
          <w:rFonts w:hint="eastAsia" w:ascii="黑体" w:eastAsia="黑体"/>
          <w:sz w:val="24"/>
          <w:szCs w:val="24"/>
          <w:u w:val="none"/>
          <w:lang w:val="en-US" w:eastAsia="zh-CN"/>
        </w:rPr>
        <w:t xml:space="preserve">               参赛教师</w:t>
      </w:r>
      <w:r>
        <w:rPr>
          <w:rFonts w:hint="eastAsia" w:ascii="黑体" w:eastAsia="黑体"/>
          <w:sz w:val="24"/>
          <w:szCs w:val="24"/>
          <w:u w:val="single"/>
          <w:lang w:val="en-US" w:eastAsia="zh-CN"/>
        </w:rPr>
        <w:t xml:space="preserve">                </w:t>
      </w:r>
    </w:p>
    <w:tbl>
      <w:tblPr>
        <w:tblStyle w:val="4"/>
        <w:tblW w:w="106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9"/>
        <w:gridCol w:w="1209"/>
        <w:gridCol w:w="7410"/>
        <w:gridCol w:w="495"/>
        <w:gridCol w:w="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779" w:type="dxa"/>
            <w:vAlign w:val="center"/>
          </w:tcPr>
          <w:p>
            <w:pPr>
              <w:widowControl/>
              <w:spacing w:line="320" w:lineRule="exact"/>
              <w:jc w:val="center"/>
              <w:rPr>
                <w:rFonts w:hint="eastAsia" w:ascii="黑体" w:hAnsi="宋体" w:eastAsia="黑体" w:cs="宋体"/>
                <w:color w:val="000000"/>
                <w:kern w:val="0"/>
                <w:sz w:val="24"/>
                <w:lang w:eastAsia="zh-CN"/>
              </w:rPr>
            </w:pPr>
            <w:r>
              <w:rPr>
                <w:rFonts w:hint="eastAsia" w:ascii="黑体" w:hAnsi="宋体" w:eastAsia="黑体" w:cs="宋体"/>
                <w:color w:val="000000"/>
                <w:kern w:val="0"/>
                <w:sz w:val="24"/>
                <w:lang w:eastAsia="zh-CN"/>
              </w:rPr>
              <w:t>评价项目</w:t>
            </w:r>
          </w:p>
        </w:tc>
        <w:tc>
          <w:tcPr>
            <w:tcW w:w="1209" w:type="dxa"/>
            <w:vAlign w:val="center"/>
          </w:tcPr>
          <w:p>
            <w:pPr>
              <w:widowControl/>
              <w:spacing w:line="320" w:lineRule="exact"/>
              <w:jc w:val="center"/>
              <w:rPr>
                <w:rFonts w:hint="eastAsia" w:ascii="黑体" w:hAnsi="宋体" w:eastAsia="黑体" w:cs="宋体"/>
                <w:color w:val="000000"/>
                <w:kern w:val="0"/>
                <w:sz w:val="24"/>
                <w:lang w:eastAsia="zh-CN"/>
              </w:rPr>
            </w:pPr>
            <w:r>
              <w:rPr>
                <w:rFonts w:hint="eastAsia" w:ascii="黑体" w:hAnsi="宋体" w:eastAsia="黑体" w:cs="宋体"/>
                <w:color w:val="000000"/>
                <w:kern w:val="0"/>
                <w:sz w:val="24"/>
                <w:lang w:eastAsia="zh-CN"/>
              </w:rPr>
              <w:t>评价维度</w:t>
            </w:r>
          </w:p>
        </w:tc>
        <w:tc>
          <w:tcPr>
            <w:tcW w:w="7410" w:type="dxa"/>
            <w:noWrap/>
            <w:vAlign w:val="center"/>
          </w:tcPr>
          <w:p>
            <w:pPr>
              <w:widowControl/>
              <w:spacing w:line="320" w:lineRule="exact"/>
              <w:jc w:val="center"/>
              <w:rPr>
                <w:rFonts w:hint="eastAsia" w:ascii="黑体" w:hAnsi="宋体" w:eastAsia="黑体" w:cs="宋体"/>
                <w:color w:val="000000"/>
                <w:kern w:val="0"/>
                <w:sz w:val="24"/>
                <w:lang w:eastAsia="zh-CN"/>
              </w:rPr>
            </w:pPr>
            <w:r>
              <w:rPr>
                <w:rFonts w:hint="eastAsia" w:ascii="黑体" w:hAnsi="宋体" w:eastAsia="黑体" w:cs="宋体"/>
                <w:color w:val="000000"/>
                <w:kern w:val="0"/>
                <w:sz w:val="24"/>
                <w:lang w:eastAsia="zh-CN"/>
              </w:rPr>
              <w:t>评价要点</w:t>
            </w:r>
          </w:p>
        </w:tc>
        <w:tc>
          <w:tcPr>
            <w:tcW w:w="495" w:type="dxa"/>
            <w:noWrap/>
            <w:vAlign w:val="center"/>
          </w:tcPr>
          <w:p>
            <w:pPr>
              <w:widowControl/>
              <w:spacing w:line="320" w:lineRule="exact"/>
              <w:jc w:val="center"/>
              <w:rPr>
                <w:rFonts w:ascii="黑体" w:hAnsi="宋体" w:eastAsia="黑体" w:cs="宋体"/>
                <w:color w:val="000000"/>
                <w:kern w:val="0"/>
                <w:sz w:val="24"/>
              </w:rPr>
            </w:pPr>
            <w:r>
              <w:rPr>
                <w:rFonts w:hint="eastAsia" w:ascii="黑体" w:hAnsi="宋体" w:eastAsia="黑体" w:cs="宋体"/>
                <w:color w:val="000000"/>
                <w:kern w:val="0"/>
                <w:sz w:val="24"/>
              </w:rPr>
              <w:t>分值</w:t>
            </w:r>
          </w:p>
        </w:tc>
        <w:tc>
          <w:tcPr>
            <w:tcW w:w="709" w:type="dxa"/>
            <w:noWrap/>
            <w:vAlign w:val="center"/>
          </w:tcPr>
          <w:p>
            <w:pPr>
              <w:widowControl/>
              <w:spacing w:line="320" w:lineRule="exact"/>
              <w:jc w:val="center"/>
              <w:rPr>
                <w:rFonts w:hint="eastAsia" w:ascii="黑体" w:hAnsi="宋体" w:eastAsia="黑体" w:cs="宋体"/>
                <w:color w:val="000000"/>
                <w:kern w:val="0"/>
                <w:sz w:val="24"/>
                <w:lang w:eastAsia="zh-CN"/>
              </w:rPr>
            </w:pPr>
            <w:r>
              <w:rPr>
                <w:rFonts w:hint="eastAsia" w:ascii="黑体" w:hAnsi="宋体" w:eastAsia="黑体" w:cs="宋体"/>
                <w:color w:val="000000"/>
                <w:kern w:val="0"/>
                <w:sz w:val="24"/>
                <w:lang w:eastAsia="zh-CN"/>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jc w:val="center"/>
        </w:trPr>
        <w:tc>
          <w:tcPr>
            <w:tcW w:w="779" w:type="dxa"/>
            <w:vMerge w:val="restart"/>
            <w:vAlign w:val="center"/>
          </w:tcPr>
          <w:p>
            <w:pPr>
              <w:spacing w:line="420" w:lineRule="exact"/>
              <w:jc w:val="center"/>
              <w:rPr>
                <w:rFonts w:hint="eastAsia" w:ascii="黑体" w:hAnsi="宋体" w:eastAsia="黑体" w:cs="宋体"/>
                <w:color w:val="000000"/>
                <w:kern w:val="0"/>
                <w:sz w:val="24"/>
                <w:lang w:eastAsia="zh-CN"/>
              </w:rPr>
            </w:pPr>
            <w:r>
              <w:rPr>
                <w:rFonts w:hint="eastAsia" w:ascii="黑体" w:hAnsi="宋体" w:eastAsia="黑体" w:cs="宋体"/>
                <w:color w:val="000000"/>
                <w:kern w:val="0"/>
                <w:sz w:val="24"/>
                <w:lang w:eastAsia="zh-CN"/>
              </w:rPr>
              <w:t>教学设计方案（</w:t>
            </w:r>
            <w:r>
              <w:rPr>
                <w:rFonts w:hint="eastAsia" w:ascii="黑体" w:hAnsi="宋体" w:eastAsia="黑体" w:cs="宋体"/>
                <w:color w:val="000000"/>
                <w:kern w:val="0"/>
                <w:sz w:val="24"/>
                <w:lang w:val="en-US" w:eastAsia="zh-CN"/>
              </w:rPr>
              <w:t>0.4</w:t>
            </w:r>
            <w:r>
              <w:rPr>
                <w:rFonts w:hint="eastAsia" w:ascii="黑体" w:hAnsi="宋体" w:eastAsia="黑体" w:cs="宋体"/>
                <w:color w:val="000000"/>
                <w:kern w:val="0"/>
                <w:sz w:val="24"/>
                <w:lang w:eastAsia="zh-CN"/>
              </w:rPr>
              <w:t>）</w:t>
            </w:r>
          </w:p>
        </w:tc>
        <w:tc>
          <w:tcPr>
            <w:tcW w:w="1209" w:type="dxa"/>
            <w:vAlign w:val="center"/>
          </w:tcPr>
          <w:p>
            <w:pPr>
              <w:spacing w:line="420" w:lineRule="exact"/>
              <w:jc w:val="center"/>
              <w:rPr>
                <w:rFonts w:ascii="黑体" w:hAnsi="宋体" w:eastAsia="黑体" w:cs="宋体"/>
                <w:color w:val="000000"/>
                <w:kern w:val="0"/>
                <w:sz w:val="24"/>
              </w:rPr>
            </w:pPr>
            <w:r>
              <w:rPr>
                <w:rFonts w:hint="eastAsia" w:ascii="黑体" w:hAnsi="宋体" w:eastAsia="黑体" w:cs="宋体"/>
                <w:color w:val="000000"/>
                <w:kern w:val="0"/>
                <w:sz w:val="24"/>
              </w:rPr>
              <w:t>教学目标</w:t>
            </w:r>
          </w:p>
        </w:tc>
        <w:tc>
          <w:tcPr>
            <w:tcW w:w="7410" w:type="dxa"/>
            <w:vAlign w:val="center"/>
          </w:tcPr>
          <w:p>
            <w:pPr>
              <w:spacing w:line="400" w:lineRule="exact"/>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1.围绕本课程教学大纲及授课对象，提炼专业课程蕴含的思政教育元素，有明确的课程思政教学目标。</w:t>
            </w:r>
          </w:p>
          <w:p>
            <w:pPr>
              <w:spacing w:line="400" w:lineRule="exact"/>
              <w:jc w:val="left"/>
              <w:rPr>
                <w:rFonts w:ascii="仿宋" w:hAnsi="仿宋" w:eastAsia="仿宋" w:cs="仿宋"/>
                <w:color w:val="000000"/>
                <w:kern w:val="0"/>
                <w:sz w:val="24"/>
              </w:rPr>
            </w:pPr>
            <w:r>
              <w:rPr>
                <w:rFonts w:hint="eastAsia" w:ascii="仿宋" w:hAnsi="仿宋" w:eastAsia="仿宋" w:cs="仿宋"/>
                <w:color w:val="000000"/>
                <w:kern w:val="0"/>
                <w:sz w:val="24"/>
                <w:lang w:val="en-US" w:eastAsia="zh-CN"/>
              </w:rPr>
              <w:t>2.覆盖知识、能力和价值塑造各方面，适当包含高阶认知能力。</w:t>
            </w:r>
          </w:p>
        </w:tc>
        <w:tc>
          <w:tcPr>
            <w:tcW w:w="495" w:type="dxa"/>
            <w:noWrap/>
            <w:vAlign w:val="center"/>
          </w:tcPr>
          <w:p>
            <w:pPr>
              <w:spacing w:line="440" w:lineRule="exact"/>
              <w:jc w:val="center"/>
              <w:rPr>
                <w:rFonts w:hint="eastAsia" w:ascii="仿宋" w:hAnsi="仿宋" w:eastAsia="仿宋" w:cs="仿宋"/>
                <w:color w:val="000000"/>
                <w:kern w:val="0"/>
                <w:sz w:val="24"/>
                <w:lang w:eastAsia="zh-CN"/>
              </w:rPr>
            </w:pPr>
            <w:r>
              <w:rPr>
                <w:rFonts w:hint="eastAsia" w:ascii="仿宋" w:hAnsi="仿宋" w:eastAsia="仿宋" w:cs="仿宋"/>
                <w:color w:val="000000"/>
                <w:kern w:val="0"/>
                <w:sz w:val="24"/>
              </w:rPr>
              <w:t>1</w:t>
            </w:r>
            <w:r>
              <w:rPr>
                <w:rFonts w:hint="eastAsia" w:ascii="仿宋" w:hAnsi="仿宋" w:eastAsia="仿宋" w:cs="仿宋"/>
                <w:color w:val="000000"/>
                <w:kern w:val="0"/>
                <w:sz w:val="24"/>
                <w:lang w:val="en-US" w:eastAsia="zh-CN"/>
              </w:rPr>
              <w:t>0</w:t>
            </w:r>
          </w:p>
        </w:tc>
        <w:tc>
          <w:tcPr>
            <w:tcW w:w="709" w:type="dxa"/>
            <w:noWrap/>
            <w:vAlign w:val="center"/>
          </w:tcPr>
          <w:p>
            <w:pPr>
              <w:spacing w:line="440" w:lineRule="exact"/>
              <w:jc w:val="center"/>
              <w:rPr>
                <w:rFonts w:hint="eastAsia" w:ascii="仿宋" w:hAnsi="仿宋" w:eastAsia="仿宋" w:cs="仿宋"/>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779" w:type="dxa"/>
            <w:vMerge w:val="continue"/>
            <w:vAlign w:val="center"/>
          </w:tcPr>
          <w:p>
            <w:pPr>
              <w:spacing w:line="420" w:lineRule="exact"/>
              <w:jc w:val="center"/>
              <w:rPr>
                <w:rFonts w:hint="eastAsia" w:ascii="黑体" w:hAnsi="宋体" w:eastAsia="黑体" w:cs="宋体"/>
                <w:color w:val="000000"/>
                <w:kern w:val="0"/>
                <w:sz w:val="24"/>
              </w:rPr>
            </w:pPr>
          </w:p>
        </w:tc>
        <w:tc>
          <w:tcPr>
            <w:tcW w:w="1209" w:type="dxa"/>
            <w:vAlign w:val="center"/>
          </w:tcPr>
          <w:p>
            <w:pPr>
              <w:spacing w:line="420" w:lineRule="exact"/>
              <w:jc w:val="center"/>
              <w:rPr>
                <w:rFonts w:ascii="黑体" w:hAnsi="宋体" w:eastAsia="黑体" w:cs="宋体"/>
                <w:color w:val="000000"/>
                <w:kern w:val="0"/>
                <w:sz w:val="24"/>
                <w:highlight w:val="yellow"/>
              </w:rPr>
            </w:pPr>
            <w:r>
              <w:rPr>
                <w:rFonts w:hint="eastAsia" w:ascii="黑体" w:hAnsi="宋体" w:eastAsia="黑体" w:cs="宋体"/>
                <w:color w:val="000000"/>
                <w:kern w:val="0"/>
                <w:sz w:val="24"/>
              </w:rPr>
              <w:t>学情分析</w:t>
            </w:r>
          </w:p>
        </w:tc>
        <w:tc>
          <w:tcPr>
            <w:tcW w:w="7410" w:type="dxa"/>
            <w:vAlign w:val="center"/>
          </w:tcPr>
          <w:p>
            <w:pPr>
              <w:spacing w:line="400" w:lineRule="exact"/>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根据学生智力因素和非智力因素进行学情分析，能够列出学生认知特性、起点水平和情感态度准备情况、信息技术技能等。</w:t>
            </w:r>
          </w:p>
        </w:tc>
        <w:tc>
          <w:tcPr>
            <w:tcW w:w="495" w:type="dxa"/>
            <w:noWrap/>
            <w:vAlign w:val="center"/>
          </w:tcPr>
          <w:p>
            <w:pPr>
              <w:spacing w:line="440" w:lineRule="exact"/>
              <w:jc w:val="center"/>
              <w:rPr>
                <w:rFonts w:hint="eastAsia" w:ascii="仿宋" w:hAnsi="仿宋" w:eastAsia="仿宋" w:cs="仿宋"/>
                <w:color w:val="000000"/>
                <w:kern w:val="0"/>
                <w:sz w:val="24"/>
                <w:lang w:eastAsia="zh-CN"/>
              </w:rPr>
            </w:pPr>
            <w:r>
              <w:rPr>
                <w:rFonts w:hint="eastAsia" w:ascii="仿宋" w:hAnsi="仿宋" w:eastAsia="仿宋" w:cs="仿宋"/>
                <w:color w:val="000000"/>
                <w:kern w:val="0"/>
                <w:sz w:val="24"/>
              </w:rPr>
              <w:t>1</w:t>
            </w:r>
            <w:r>
              <w:rPr>
                <w:rFonts w:hint="eastAsia" w:ascii="仿宋" w:hAnsi="仿宋" w:eastAsia="仿宋" w:cs="仿宋"/>
                <w:color w:val="000000"/>
                <w:kern w:val="0"/>
                <w:sz w:val="24"/>
                <w:lang w:val="en-US" w:eastAsia="zh-CN"/>
              </w:rPr>
              <w:t>0</w:t>
            </w:r>
          </w:p>
        </w:tc>
        <w:tc>
          <w:tcPr>
            <w:tcW w:w="709" w:type="dxa"/>
            <w:noWrap/>
            <w:vAlign w:val="center"/>
          </w:tcPr>
          <w:p>
            <w:pPr>
              <w:spacing w:line="440" w:lineRule="exact"/>
              <w:jc w:val="center"/>
              <w:rPr>
                <w:rFonts w:hint="eastAsia" w:ascii="仿宋" w:hAnsi="仿宋" w:eastAsia="仿宋" w:cs="仿宋"/>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0" w:hRule="atLeast"/>
          <w:jc w:val="center"/>
        </w:trPr>
        <w:tc>
          <w:tcPr>
            <w:tcW w:w="779" w:type="dxa"/>
            <w:vMerge w:val="continue"/>
            <w:vAlign w:val="center"/>
          </w:tcPr>
          <w:p>
            <w:pPr>
              <w:spacing w:line="420" w:lineRule="exact"/>
              <w:jc w:val="center"/>
              <w:rPr>
                <w:rFonts w:hint="eastAsia" w:ascii="黑体" w:hAnsi="宋体" w:eastAsia="黑体" w:cs="宋体"/>
                <w:color w:val="000000"/>
                <w:kern w:val="0"/>
                <w:sz w:val="24"/>
              </w:rPr>
            </w:pPr>
          </w:p>
        </w:tc>
        <w:tc>
          <w:tcPr>
            <w:tcW w:w="1209" w:type="dxa"/>
            <w:vAlign w:val="center"/>
          </w:tcPr>
          <w:p>
            <w:pPr>
              <w:spacing w:line="420" w:lineRule="exact"/>
              <w:jc w:val="center"/>
              <w:rPr>
                <w:rFonts w:ascii="黑体" w:hAnsi="宋体" w:eastAsia="黑体" w:cs="宋体"/>
                <w:color w:val="000000"/>
                <w:kern w:val="0"/>
                <w:sz w:val="24"/>
              </w:rPr>
            </w:pPr>
            <w:r>
              <w:rPr>
                <w:rFonts w:hint="eastAsia" w:ascii="黑体" w:hAnsi="宋体" w:eastAsia="黑体" w:cs="宋体"/>
                <w:color w:val="000000"/>
                <w:kern w:val="0"/>
                <w:sz w:val="24"/>
              </w:rPr>
              <w:t>课</w:t>
            </w:r>
            <w:r>
              <w:rPr>
                <w:rFonts w:hint="eastAsia" w:ascii="黑体" w:hAnsi="宋体" w:eastAsia="黑体" w:cs="宋体"/>
                <w:color w:val="000000"/>
                <w:kern w:val="0"/>
                <w:sz w:val="24"/>
                <w:lang w:eastAsia="zh-CN"/>
              </w:rPr>
              <w:t>程思政</w:t>
            </w:r>
            <w:r>
              <w:rPr>
                <w:rFonts w:hint="eastAsia" w:ascii="黑体" w:hAnsi="宋体" w:eastAsia="黑体" w:cs="宋体"/>
                <w:color w:val="000000"/>
                <w:kern w:val="0"/>
                <w:sz w:val="24"/>
              </w:rPr>
              <w:t>教学内容</w:t>
            </w:r>
          </w:p>
        </w:tc>
        <w:tc>
          <w:tcPr>
            <w:tcW w:w="7410" w:type="dxa"/>
            <w:vAlign w:val="center"/>
          </w:tcPr>
          <w:p>
            <w:pPr>
              <w:spacing w:line="400" w:lineRule="exact"/>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1.能够深度挖掘提炼专业知识中所蕴含的思想价值和精神内涵，思政教育元素选取适当，与课程内容联系紧密。</w:t>
            </w:r>
          </w:p>
          <w:p>
            <w:pPr>
              <w:spacing w:line="400" w:lineRule="exact"/>
              <w:jc w:val="left"/>
              <w:rPr>
                <w:rFonts w:hint="default"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2.教学内容与思政教育元素整合精当、巧妙，结合学生思想实际，突出思想引领，润物无声。</w:t>
            </w:r>
          </w:p>
        </w:tc>
        <w:tc>
          <w:tcPr>
            <w:tcW w:w="495" w:type="dxa"/>
            <w:noWrap/>
            <w:vAlign w:val="center"/>
          </w:tcPr>
          <w:p>
            <w:pPr>
              <w:spacing w:line="440" w:lineRule="exact"/>
              <w:jc w:val="center"/>
              <w:rPr>
                <w:rFonts w:hint="eastAsia" w:ascii="仿宋" w:hAnsi="仿宋" w:eastAsia="仿宋" w:cs="仿宋"/>
                <w:color w:val="000000"/>
                <w:kern w:val="0"/>
                <w:sz w:val="24"/>
                <w:lang w:eastAsia="zh-CN"/>
              </w:rPr>
            </w:pPr>
            <w:r>
              <w:rPr>
                <w:rFonts w:hint="eastAsia" w:ascii="仿宋" w:hAnsi="仿宋" w:eastAsia="仿宋" w:cs="仿宋"/>
                <w:color w:val="000000"/>
                <w:kern w:val="0"/>
                <w:sz w:val="24"/>
              </w:rPr>
              <w:t>2</w:t>
            </w:r>
            <w:r>
              <w:rPr>
                <w:rFonts w:hint="eastAsia" w:ascii="仿宋" w:hAnsi="仿宋" w:eastAsia="仿宋" w:cs="仿宋"/>
                <w:color w:val="000000"/>
                <w:kern w:val="0"/>
                <w:sz w:val="24"/>
                <w:lang w:val="en-US" w:eastAsia="zh-CN"/>
              </w:rPr>
              <w:t>5</w:t>
            </w:r>
          </w:p>
        </w:tc>
        <w:tc>
          <w:tcPr>
            <w:tcW w:w="709" w:type="dxa"/>
            <w:noWrap/>
            <w:vAlign w:val="center"/>
          </w:tcPr>
          <w:p>
            <w:pPr>
              <w:spacing w:line="440" w:lineRule="exact"/>
              <w:jc w:val="center"/>
              <w:rPr>
                <w:rFonts w:hint="eastAsia" w:ascii="仿宋" w:hAnsi="仿宋" w:eastAsia="仿宋" w:cs="仿宋"/>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0" w:hRule="atLeast"/>
          <w:jc w:val="center"/>
        </w:trPr>
        <w:tc>
          <w:tcPr>
            <w:tcW w:w="779" w:type="dxa"/>
            <w:vMerge w:val="continue"/>
            <w:vAlign w:val="center"/>
          </w:tcPr>
          <w:p>
            <w:pPr>
              <w:spacing w:line="420" w:lineRule="exact"/>
              <w:jc w:val="center"/>
              <w:rPr>
                <w:rFonts w:hint="eastAsia" w:ascii="黑体" w:hAnsi="宋体" w:eastAsia="黑体" w:cs="宋体"/>
                <w:color w:val="000000"/>
                <w:kern w:val="0"/>
                <w:sz w:val="24"/>
              </w:rPr>
            </w:pPr>
          </w:p>
        </w:tc>
        <w:tc>
          <w:tcPr>
            <w:tcW w:w="1209" w:type="dxa"/>
            <w:vAlign w:val="center"/>
          </w:tcPr>
          <w:p>
            <w:pPr>
              <w:spacing w:line="420" w:lineRule="exact"/>
              <w:jc w:val="center"/>
              <w:rPr>
                <w:rFonts w:hint="eastAsia" w:ascii="黑体" w:hAnsi="宋体" w:eastAsia="黑体" w:cs="宋体"/>
                <w:color w:val="000000"/>
                <w:kern w:val="0"/>
                <w:sz w:val="24"/>
                <w:lang w:eastAsia="zh-CN"/>
              </w:rPr>
            </w:pPr>
            <w:r>
              <w:rPr>
                <w:rFonts w:hint="eastAsia" w:ascii="黑体" w:hAnsi="宋体" w:eastAsia="黑体" w:cs="宋体"/>
                <w:color w:val="000000"/>
                <w:kern w:val="0"/>
                <w:sz w:val="24"/>
              </w:rPr>
              <w:t>教学方法</w:t>
            </w:r>
            <w:r>
              <w:rPr>
                <w:rFonts w:hint="eastAsia" w:ascii="黑体" w:hAnsi="宋体" w:eastAsia="黑体" w:cs="宋体"/>
                <w:color w:val="000000"/>
                <w:kern w:val="0"/>
                <w:sz w:val="24"/>
                <w:lang w:eastAsia="zh-CN"/>
              </w:rPr>
              <w:t>与手段</w:t>
            </w:r>
          </w:p>
        </w:tc>
        <w:tc>
          <w:tcPr>
            <w:tcW w:w="7410" w:type="dxa"/>
            <w:vAlign w:val="center"/>
          </w:tcPr>
          <w:p>
            <w:pPr>
              <w:spacing w:line="400" w:lineRule="exact"/>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1.遵照学生的认知规律恰当选择教学方法、举措和载体途径，注重多种教学方法的优化组合。</w:t>
            </w:r>
          </w:p>
          <w:p>
            <w:pPr>
              <w:spacing w:line="400" w:lineRule="exact"/>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2.注重模式、策略的创新，以有效提升学生学习效果为主要目标，体现创新性、启发性、互动性和实效性，易于实现思想政治教育目标。</w:t>
            </w:r>
          </w:p>
          <w:p>
            <w:pPr>
              <w:spacing w:line="400" w:lineRule="exact"/>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3.教学手段上推动现代教育技术与课程思政的深度融合，将思政教育巧妙渗透到教学过程中，教学活动组织灵活。</w:t>
            </w:r>
          </w:p>
          <w:p>
            <w:pPr>
              <w:spacing w:line="400" w:lineRule="exact"/>
              <w:jc w:val="left"/>
              <w:rPr>
                <w:rFonts w:hint="default"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4.课程考核中能将思政元素融入课程过程考核和结果考核所涵盖的知识、能力和素质中。</w:t>
            </w:r>
          </w:p>
        </w:tc>
        <w:tc>
          <w:tcPr>
            <w:tcW w:w="495" w:type="dxa"/>
            <w:noWrap/>
            <w:vAlign w:val="center"/>
          </w:tcPr>
          <w:p>
            <w:pPr>
              <w:spacing w:line="440" w:lineRule="exact"/>
              <w:jc w:val="center"/>
              <w:rPr>
                <w:rFonts w:ascii="仿宋" w:hAnsi="仿宋" w:eastAsia="仿宋" w:cs="仿宋"/>
                <w:color w:val="000000"/>
                <w:kern w:val="0"/>
                <w:sz w:val="24"/>
              </w:rPr>
            </w:pPr>
            <w:r>
              <w:rPr>
                <w:rFonts w:hint="eastAsia" w:ascii="仿宋" w:hAnsi="仿宋" w:eastAsia="仿宋" w:cs="仿宋"/>
                <w:color w:val="000000"/>
                <w:kern w:val="0"/>
                <w:sz w:val="24"/>
              </w:rPr>
              <w:t>25</w:t>
            </w:r>
          </w:p>
        </w:tc>
        <w:tc>
          <w:tcPr>
            <w:tcW w:w="709" w:type="dxa"/>
            <w:noWrap/>
            <w:vAlign w:val="center"/>
          </w:tcPr>
          <w:p>
            <w:pPr>
              <w:spacing w:line="440" w:lineRule="exact"/>
              <w:jc w:val="center"/>
              <w:rPr>
                <w:rFonts w:hint="eastAsia" w:ascii="仿宋" w:hAnsi="仿宋" w:eastAsia="仿宋" w:cs="仿宋"/>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jc w:val="center"/>
        </w:trPr>
        <w:tc>
          <w:tcPr>
            <w:tcW w:w="779" w:type="dxa"/>
            <w:vMerge w:val="continue"/>
            <w:vAlign w:val="center"/>
          </w:tcPr>
          <w:p>
            <w:pPr>
              <w:spacing w:line="420" w:lineRule="exact"/>
              <w:jc w:val="center"/>
              <w:rPr>
                <w:rFonts w:hint="eastAsia" w:ascii="黑体" w:hAnsi="宋体" w:eastAsia="黑体" w:cs="宋体"/>
                <w:color w:val="000000"/>
                <w:kern w:val="0"/>
                <w:sz w:val="24"/>
              </w:rPr>
            </w:pPr>
          </w:p>
        </w:tc>
        <w:tc>
          <w:tcPr>
            <w:tcW w:w="1209" w:type="dxa"/>
            <w:vAlign w:val="center"/>
          </w:tcPr>
          <w:p>
            <w:pPr>
              <w:spacing w:line="420" w:lineRule="exact"/>
              <w:jc w:val="center"/>
              <w:rPr>
                <w:rFonts w:hint="eastAsia" w:ascii="黑体" w:hAnsi="宋体" w:eastAsia="黑体" w:cs="宋体"/>
                <w:color w:val="000000"/>
                <w:kern w:val="0"/>
                <w:sz w:val="24"/>
                <w:lang w:eastAsia="zh-CN"/>
              </w:rPr>
            </w:pPr>
            <w:r>
              <w:rPr>
                <w:rFonts w:hint="eastAsia" w:ascii="黑体" w:hAnsi="宋体" w:eastAsia="黑体" w:cs="宋体"/>
                <w:color w:val="000000"/>
                <w:kern w:val="0"/>
                <w:sz w:val="24"/>
                <w:lang w:eastAsia="zh-CN"/>
              </w:rPr>
              <w:t>预期成效</w:t>
            </w:r>
          </w:p>
        </w:tc>
        <w:tc>
          <w:tcPr>
            <w:tcW w:w="7410" w:type="dxa"/>
            <w:vAlign w:val="center"/>
          </w:tcPr>
          <w:p>
            <w:pPr>
              <w:spacing w:line="400" w:lineRule="exact"/>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1.对该教学节段思政教学的实施效果及成果预测合理，对可能出现的问题设有解决预案。</w:t>
            </w:r>
          </w:p>
          <w:p>
            <w:pPr>
              <w:spacing w:line="400" w:lineRule="exact"/>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2.对与课程思政目标对应的具体成效预测合理，分析有条理。</w:t>
            </w:r>
          </w:p>
        </w:tc>
        <w:tc>
          <w:tcPr>
            <w:tcW w:w="495" w:type="dxa"/>
            <w:noWrap/>
            <w:vAlign w:val="center"/>
          </w:tcPr>
          <w:p>
            <w:pPr>
              <w:spacing w:line="440" w:lineRule="exact"/>
              <w:jc w:val="center"/>
              <w:rPr>
                <w:rFonts w:hint="default"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10</w:t>
            </w:r>
          </w:p>
        </w:tc>
        <w:tc>
          <w:tcPr>
            <w:tcW w:w="709" w:type="dxa"/>
            <w:noWrap/>
            <w:vAlign w:val="center"/>
          </w:tcPr>
          <w:p>
            <w:pPr>
              <w:spacing w:line="440" w:lineRule="exact"/>
              <w:jc w:val="center"/>
              <w:rPr>
                <w:rFonts w:hint="eastAsia" w:ascii="仿宋" w:hAnsi="仿宋" w:eastAsia="仿宋" w:cs="仿宋"/>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jc w:val="center"/>
        </w:trPr>
        <w:tc>
          <w:tcPr>
            <w:tcW w:w="779" w:type="dxa"/>
            <w:vMerge w:val="continue"/>
            <w:vAlign w:val="center"/>
          </w:tcPr>
          <w:p>
            <w:pPr>
              <w:spacing w:line="420" w:lineRule="exact"/>
              <w:jc w:val="center"/>
              <w:rPr>
                <w:rFonts w:hint="eastAsia" w:ascii="黑体" w:hAnsi="宋体" w:eastAsia="黑体" w:cs="宋体"/>
                <w:color w:val="000000"/>
                <w:kern w:val="0"/>
                <w:sz w:val="24"/>
              </w:rPr>
            </w:pPr>
          </w:p>
        </w:tc>
        <w:tc>
          <w:tcPr>
            <w:tcW w:w="1209" w:type="dxa"/>
            <w:vAlign w:val="center"/>
          </w:tcPr>
          <w:p>
            <w:pPr>
              <w:spacing w:line="420" w:lineRule="exact"/>
              <w:jc w:val="center"/>
              <w:rPr>
                <w:rFonts w:ascii="黑体" w:hAnsi="宋体" w:eastAsia="黑体" w:cs="宋体"/>
                <w:color w:val="000000"/>
                <w:kern w:val="0"/>
                <w:sz w:val="24"/>
              </w:rPr>
            </w:pPr>
            <w:r>
              <w:rPr>
                <w:rFonts w:hint="eastAsia" w:ascii="黑体" w:hAnsi="宋体" w:eastAsia="黑体" w:cs="宋体"/>
                <w:color w:val="000000"/>
                <w:kern w:val="0"/>
                <w:sz w:val="24"/>
              </w:rPr>
              <w:t>教学资源与自主学习设计</w:t>
            </w:r>
          </w:p>
        </w:tc>
        <w:tc>
          <w:tcPr>
            <w:tcW w:w="7410" w:type="dxa"/>
            <w:vAlign w:val="center"/>
          </w:tcPr>
          <w:p>
            <w:pPr>
              <w:spacing w:line="400" w:lineRule="exact"/>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1.学习资源推介广，</w:t>
            </w:r>
            <w:r>
              <w:rPr>
                <w:rFonts w:hint="eastAsia" w:ascii="仿宋" w:hAnsi="仿宋" w:eastAsia="仿宋" w:cs="仿宋"/>
                <w:color w:val="000000"/>
                <w:kern w:val="0"/>
                <w:sz w:val="24"/>
                <w:lang w:val="en-US" w:eastAsia="zh-CN"/>
              </w:rPr>
              <w:t>与本课程相关的课程思政资源丰富、新颖。</w:t>
            </w:r>
          </w:p>
          <w:p>
            <w:pPr>
              <w:spacing w:line="400" w:lineRule="exact"/>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2.能够为学生搭建课外学习平台，引导学生进行自主学习和自主评价，注重培养学生自主、合作、探究能力。</w:t>
            </w:r>
          </w:p>
        </w:tc>
        <w:tc>
          <w:tcPr>
            <w:tcW w:w="495" w:type="dxa"/>
            <w:noWrap/>
            <w:vAlign w:val="center"/>
          </w:tcPr>
          <w:p>
            <w:pPr>
              <w:spacing w:line="440" w:lineRule="exact"/>
              <w:jc w:val="center"/>
              <w:rPr>
                <w:rFonts w:hint="eastAsia" w:ascii="仿宋" w:hAnsi="仿宋" w:eastAsia="仿宋" w:cs="仿宋"/>
                <w:color w:val="000000"/>
                <w:kern w:val="0"/>
                <w:sz w:val="24"/>
                <w:lang w:eastAsia="zh-CN"/>
              </w:rPr>
            </w:pPr>
            <w:r>
              <w:rPr>
                <w:rFonts w:hint="eastAsia" w:ascii="仿宋" w:hAnsi="仿宋" w:eastAsia="仿宋" w:cs="仿宋"/>
                <w:color w:val="000000"/>
                <w:kern w:val="0"/>
                <w:sz w:val="24"/>
              </w:rPr>
              <w:t>1</w:t>
            </w:r>
            <w:r>
              <w:rPr>
                <w:rFonts w:hint="eastAsia" w:ascii="仿宋" w:hAnsi="仿宋" w:eastAsia="仿宋" w:cs="仿宋"/>
                <w:color w:val="000000"/>
                <w:kern w:val="0"/>
                <w:sz w:val="24"/>
                <w:lang w:val="en-US" w:eastAsia="zh-CN"/>
              </w:rPr>
              <w:t>0</w:t>
            </w:r>
          </w:p>
        </w:tc>
        <w:tc>
          <w:tcPr>
            <w:tcW w:w="709" w:type="dxa"/>
            <w:noWrap/>
            <w:vAlign w:val="center"/>
          </w:tcPr>
          <w:p>
            <w:pPr>
              <w:spacing w:line="440" w:lineRule="exact"/>
              <w:jc w:val="center"/>
              <w:rPr>
                <w:rFonts w:hint="eastAsia" w:ascii="仿宋" w:hAnsi="仿宋" w:eastAsia="仿宋" w:cs="仿宋"/>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779" w:type="dxa"/>
            <w:vMerge w:val="continue"/>
            <w:vAlign w:val="center"/>
          </w:tcPr>
          <w:p>
            <w:pPr>
              <w:spacing w:line="420" w:lineRule="exact"/>
              <w:jc w:val="center"/>
              <w:rPr>
                <w:rFonts w:hint="eastAsia" w:ascii="黑体" w:hAnsi="宋体" w:eastAsia="黑体" w:cs="宋体"/>
                <w:color w:val="000000"/>
                <w:kern w:val="0"/>
                <w:sz w:val="24"/>
              </w:rPr>
            </w:pPr>
          </w:p>
        </w:tc>
        <w:tc>
          <w:tcPr>
            <w:tcW w:w="1209" w:type="dxa"/>
            <w:vAlign w:val="center"/>
          </w:tcPr>
          <w:p>
            <w:pPr>
              <w:spacing w:line="420" w:lineRule="exact"/>
              <w:jc w:val="center"/>
              <w:rPr>
                <w:rFonts w:ascii="黑体" w:hAnsi="宋体" w:eastAsia="黑体" w:cs="宋体"/>
                <w:color w:val="000000"/>
                <w:kern w:val="0"/>
                <w:sz w:val="24"/>
              </w:rPr>
            </w:pPr>
            <w:r>
              <w:rPr>
                <w:rFonts w:hint="eastAsia" w:ascii="黑体" w:hAnsi="宋体" w:eastAsia="黑体" w:cs="宋体"/>
                <w:color w:val="000000"/>
                <w:kern w:val="0"/>
                <w:sz w:val="24"/>
              </w:rPr>
              <w:t>案例呈现</w:t>
            </w:r>
          </w:p>
        </w:tc>
        <w:tc>
          <w:tcPr>
            <w:tcW w:w="7410" w:type="dxa"/>
            <w:vAlign w:val="center"/>
          </w:tcPr>
          <w:p>
            <w:pPr>
              <w:spacing w:line="400" w:lineRule="exact"/>
              <w:jc w:val="left"/>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图文并茂，思路清晰，能够简洁、完整呈现“课程思政”教学设计与教学实施流程，具有推广借鉴价值。</w:t>
            </w:r>
          </w:p>
        </w:tc>
        <w:tc>
          <w:tcPr>
            <w:tcW w:w="495" w:type="dxa"/>
            <w:noWrap/>
            <w:vAlign w:val="center"/>
          </w:tcPr>
          <w:p>
            <w:pPr>
              <w:spacing w:line="440" w:lineRule="exact"/>
              <w:jc w:val="center"/>
              <w:rPr>
                <w:rFonts w:hint="default"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10</w:t>
            </w:r>
          </w:p>
        </w:tc>
        <w:tc>
          <w:tcPr>
            <w:tcW w:w="709" w:type="dxa"/>
            <w:noWrap/>
            <w:vAlign w:val="center"/>
          </w:tcPr>
          <w:p>
            <w:pPr>
              <w:spacing w:line="440" w:lineRule="exact"/>
              <w:jc w:val="center"/>
              <w:rPr>
                <w:rFonts w:hint="eastAsia" w:ascii="仿宋" w:hAnsi="仿宋" w:eastAsia="仿宋" w:cs="仿宋"/>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79" w:type="dxa"/>
            <w:vMerge w:val="continue"/>
            <w:vAlign w:val="center"/>
          </w:tcPr>
          <w:p>
            <w:pPr>
              <w:widowControl/>
              <w:spacing w:line="480" w:lineRule="exact"/>
              <w:jc w:val="center"/>
              <w:rPr>
                <w:rFonts w:hint="eastAsia" w:ascii="黑体" w:hAnsi="宋体" w:eastAsia="黑体" w:cs="宋体"/>
                <w:color w:val="000000"/>
                <w:kern w:val="0"/>
                <w:sz w:val="24"/>
              </w:rPr>
            </w:pPr>
          </w:p>
        </w:tc>
        <w:tc>
          <w:tcPr>
            <w:tcW w:w="8619" w:type="dxa"/>
            <w:gridSpan w:val="2"/>
            <w:vAlign w:val="center"/>
          </w:tcPr>
          <w:p>
            <w:pPr>
              <w:widowControl/>
              <w:spacing w:line="480" w:lineRule="exact"/>
              <w:jc w:val="center"/>
              <w:rPr>
                <w:rFonts w:ascii="仿宋" w:hAnsi="仿宋" w:eastAsia="仿宋" w:cs="仿宋"/>
                <w:color w:val="000000"/>
                <w:sz w:val="24"/>
              </w:rPr>
            </w:pPr>
            <w:r>
              <w:rPr>
                <w:rFonts w:hint="eastAsia" w:ascii="黑体" w:hAnsi="宋体" w:eastAsia="黑体" w:cs="宋体"/>
                <w:color w:val="000000"/>
                <w:kern w:val="0"/>
                <w:sz w:val="24"/>
              </w:rPr>
              <w:t>总分</w:t>
            </w:r>
          </w:p>
        </w:tc>
        <w:tc>
          <w:tcPr>
            <w:tcW w:w="1204" w:type="dxa"/>
            <w:gridSpan w:val="2"/>
            <w:noWrap/>
            <w:vAlign w:val="center"/>
          </w:tcPr>
          <w:p>
            <w:pPr>
              <w:spacing w:line="440" w:lineRule="exact"/>
              <w:jc w:val="center"/>
              <w:rPr>
                <w:rFonts w:hint="eastAsia" w:ascii="仿宋" w:hAnsi="仿宋" w:eastAsia="仿宋" w:cs="仿宋"/>
                <w:color w:val="000000"/>
                <w:kern w:val="0"/>
                <w:sz w:val="24"/>
              </w:rPr>
            </w:pPr>
          </w:p>
        </w:tc>
      </w:tr>
    </w:tbl>
    <w:p>
      <w:pPr>
        <w:keepNext w:val="0"/>
        <w:keepLines w:val="0"/>
        <w:pageBreakBefore w:val="0"/>
        <w:widowControl w:val="0"/>
        <w:kinsoku/>
        <w:wordWrap/>
        <w:overflowPunct/>
        <w:topLinePunct w:val="0"/>
        <w:autoSpaceDE/>
        <w:autoSpaceDN/>
        <w:bidi w:val="0"/>
        <w:adjustRightInd/>
        <w:snapToGrid/>
        <w:spacing w:before="157" w:beforeLines="50"/>
        <w:ind w:firstLine="281" w:firstLineChars="100"/>
        <w:jc w:val="center"/>
        <w:textAlignment w:val="auto"/>
        <w:rPr>
          <w:szCs w:val="21"/>
        </w:rPr>
      </w:pPr>
      <w:r>
        <w:rPr>
          <w:rFonts w:hint="eastAsia" w:ascii="仿宋_GB2312" w:hAnsi="仿宋_GB2312" w:eastAsia="仿宋_GB2312" w:cs="仿宋_GB2312"/>
          <w:b/>
          <w:bCs/>
          <w:sz w:val="28"/>
          <w:szCs w:val="28"/>
          <w:lang w:val="en-US" w:eastAsia="zh-CN"/>
        </w:rPr>
        <w:t xml:space="preserve"> </w:t>
      </w:r>
      <w:bookmarkStart w:id="0" w:name="_GoBack"/>
      <w:bookmarkEnd w:id="0"/>
      <w:r>
        <w:rPr>
          <w:rFonts w:hint="eastAsia" w:ascii="仿宋_GB2312" w:hAnsi="仿宋_GB2312" w:eastAsia="仿宋_GB2312" w:cs="仿宋_GB2312"/>
          <w:b/>
          <w:bCs/>
          <w:sz w:val="28"/>
          <w:szCs w:val="28"/>
        </w:rPr>
        <w:t>评委签字:</w:t>
      </w:r>
      <w:r>
        <w:rPr>
          <w:rFonts w:ascii="仿宋_GB2312" w:hAnsi="仿宋_GB2312" w:eastAsia="仿宋_GB2312" w:cs="仿宋_GB2312"/>
          <w:b/>
          <w:bCs/>
          <w:sz w:val="28"/>
          <w:szCs w:val="28"/>
          <w:u w:val="single"/>
        </w:rPr>
        <w:t xml:space="preserve">               </w:t>
      </w:r>
      <w:r>
        <w:rPr>
          <w:rFonts w:ascii="仿宋_GB2312" w:hAnsi="仿宋_GB2312" w:eastAsia="仿宋_GB2312" w:cs="仿宋_GB2312"/>
          <w:b/>
          <w:bCs/>
          <w:sz w:val="28"/>
          <w:szCs w:val="28"/>
        </w:rPr>
        <w:t xml:space="preserve">         </w:t>
      </w:r>
      <w:r>
        <w:rPr>
          <w:rFonts w:hint="eastAsia" w:ascii="仿宋_GB2312" w:hAnsi="仿宋_GB2312" w:eastAsia="仿宋_GB2312" w:cs="仿宋_GB2312"/>
          <w:b/>
          <w:bCs/>
          <w:sz w:val="28"/>
          <w:szCs w:val="28"/>
          <w:lang w:val="en-US" w:eastAsia="zh-CN"/>
        </w:rPr>
        <w:t>2023</w:t>
      </w:r>
      <w:r>
        <w:rPr>
          <w:rFonts w:hint="eastAsia" w:ascii="仿宋_GB2312" w:hAnsi="仿宋_GB2312" w:eastAsia="仿宋_GB2312" w:cs="仿宋_GB2312"/>
          <w:b/>
          <w:bCs/>
          <w:sz w:val="28"/>
          <w:szCs w:val="28"/>
        </w:rPr>
        <w:t xml:space="preserve">年 </w:t>
      </w:r>
      <w:r>
        <w:rPr>
          <w:rFonts w:ascii="仿宋_GB2312" w:hAnsi="仿宋_GB2312" w:eastAsia="仿宋_GB2312" w:cs="仿宋_GB2312"/>
          <w:b/>
          <w:bCs/>
          <w:sz w:val="28"/>
          <w:szCs w:val="28"/>
        </w:rPr>
        <w:t xml:space="preserve">  </w:t>
      </w:r>
      <w:r>
        <w:rPr>
          <w:rFonts w:hint="eastAsia" w:ascii="仿宋_GB2312" w:hAnsi="仿宋_GB2312" w:eastAsia="仿宋_GB2312" w:cs="仿宋_GB2312"/>
          <w:b/>
          <w:bCs/>
          <w:sz w:val="28"/>
          <w:szCs w:val="28"/>
        </w:rPr>
        <w:t xml:space="preserve">月 </w:t>
      </w:r>
      <w:r>
        <w:rPr>
          <w:rFonts w:ascii="仿宋_GB2312" w:hAnsi="仿宋_GB2312" w:eastAsia="仿宋_GB2312" w:cs="仿宋_GB2312"/>
          <w:b/>
          <w:bCs/>
          <w:sz w:val="28"/>
          <w:szCs w:val="28"/>
        </w:rPr>
        <w:t xml:space="preserve">  </w:t>
      </w:r>
      <w:r>
        <w:rPr>
          <w:rFonts w:hint="eastAsia" w:ascii="仿宋_GB2312" w:hAnsi="仿宋_GB2312" w:eastAsia="仿宋_GB2312" w:cs="仿宋_GB2312"/>
          <w:b/>
          <w:bCs/>
          <w:sz w:val="28"/>
          <w:szCs w:val="28"/>
        </w:rPr>
        <w:t>日</w:t>
      </w:r>
    </w:p>
    <w:p>
      <w:pPr>
        <w:spacing w:line="440" w:lineRule="exact"/>
        <w:jc w:val="left"/>
        <w:rPr>
          <w:rFonts w:hint="eastAsia" w:ascii="黑体" w:eastAsia="黑体"/>
          <w:sz w:val="32"/>
          <w:szCs w:val="32"/>
          <w:lang w:eastAsia="zh-CN"/>
        </w:rPr>
      </w:pPr>
      <w:r>
        <w:rPr>
          <w:rFonts w:hint="eastAsia" w:ascii="仿宋_GB2312" w:hAnsi="仿宋_GB2312" w:eastAsia="仿宋_GB2312" w:cs="仿宋_GB2312"/>
          <w:sz w:val="28"/>
          <w:szCs w:val="28"/>
        </w:rPr>
        <w:t>附件3</w:t>
      </w:r>
      <w:r>
        <w:rPr>
          <w:rFonts w:hint="eastAsia" w:ascii="仿宋_GB2312" w:hAnsi="仿宋_GB2312" w:eastAsia="仿宋_GB2312" w:cs="仿宋_GB2312"/>
          <w:sz w:val="28"/>
          <w:szCs w:val="28"/>
          <w:lang w:val="en-US" w:eastAsia="zh-CN"/>
        </w:rPr>
        <w:t>-2</w:t>
      </w:r>
    </w:p>
    <w:p>
      <w:pPr>
        <w:keepNext w:val="0"/>
        <w:keepLines w:val="0"/>
        <w:pageBreakBefore w:val="0"/>
        <w:widowControl w:val="0"/>
        <w:numPr>
          <w:ilvl w:val="0"/>
          <w:numId w:val="2"/>
        </w:numPr>
        <w:kinsoku/>
        <w:wordWrap/>
        <w:overflowPunct/>
        <w:topLinePunct w:val="0"/>
        <w:autoSpaceDE/>
        <w:autoSpaceDN/>
        <w:bidi w:val="0"/>
        <w:adjustRightInd/>
        <w:snapToGrid/>
        <w:spacing w:before="156" w:beforeLines="50" w:after="313" w:afterLines="100" w:line="440" w:lineRule="exact"/>
        <w:jc w:val="center"/>
        <w:textAlignment w:val="auto"/>
        <w:rPr>
          <w:rFonts w:hint="eastAsia" w:ascii="黑体" w:eastAsia="黑体"/>
          <w:sz w:val="32"/>
          <w:szCs w:val="32"/>
        </w:rPr>
      </w:pPr>
      <w:r>
        <w:rPr>
          <w:rFonts w:hint="eastAsia" w:ascii="黑体" w:eastAsia="黑体"/>
          <w:sz w:val="32"/>
          <w:szCs w:val="32"/>
          <w:lang w:eastAsia="zh-CN"/>
        </w:rPr>
        <w:t>“</w:t>
      </w:r>
      <w:r>
        <w:rPr>
          <w:rFonts w:hint="eastAsia" w:ascii="黑体" w:eastAsia="黑体"/>
          <w:sz w:val="32"/>
          <w:szCs w:val="32"/>
        </w:rPr>
        <w:t>课程思政</w:t>
      </w:r>
      <w:r>
        <w:rPr>
          <w:rFonts w:hint="eastAsia" w:ascii="黑体" w:eastAsia="黑体"/>
          <w:sz w:val="32"/>
          <w:szCs w:val="32"/>
          <w:lang w:eastAsia="zh-CN"/>
        </w:rPr>
        <w:t>”现场评审</w:t>
      </w:r>
      <w:r>
        <w:rPr>
          <w:rFonts w:hint="eastAsia" w:ascii="黑体" w:eastAsia="黑体"/>
          <w:sz w:val="32"/>
          <w:szCs w:val="32"/>
        </w:rPr>
        <w:t>评</w:t>
      </w:r>
      <w:r>
        <w:rPr>
          <w:rFonts w:hint="eastAsia" w:ascii="黑体" w:eastAsia="黑体"/>
          <w:sz w:val="32"/>
          <w:szCs w:val="32"/>
          <w:lang w:eastAsia="zh-CN"/>
        </w:rPr>
        <w:t>价</w:t>
      </w:r>
      <w:r>
        <w:rPr>
          <w:rFonts w:hint="eastAsia" w:ascii="黑体" w:eastAsia="黑体"/>
          <w:sz w:val="32"/>
          <w:szCs w:val="32"/>
        </w:rPr>
        <w:t>标准</w:t>
      </w:r>
      <w:r>
        <w:rPr>
          <w:rFonts w:hint="eastAsia" w:ascii="黑体" w:eastAsia="黑体"/>
          <w:sz w:val="32"/>
          <w:szCs w:val="32"/>
          <w:lang w:eastAsia="zh-CN"/>
        </w:rPr>
        <w:t>及评分表</w:t>
      </w:r>
    </w:p>
    <w:p>
      <w:pPr>
        <w:numPr>
          <w:numId w:val="0"/>
        </w:numPr>
        <w:spacing w:before="156" w:beforeLines="50" w:after="156" w:afterLines="50" w:line="440" w:lineRule="exact"/>
        <w:ind w:firstLine="1440" w:firstLineChars="600"/>
        <w:jc w:val="both"/>
        <w:rPr>
          <w:rFonts w:hint="default" w:ascii="黑体" w:eastAsia="黑体"/>
          <w:sz w:val="24"/>
          <w:szCs w:val="24"/>
          <w:u w:val="single"/>
          <w:lang w:val="en-US"/>
        </w:rPr>
      </w:pPr>
      <w:r>
        <w:rPr>
          <w:rFonts w:hint="eastAsia" w:ascii="黑体" w:eastAsia="黑体"/>
          <w:sz w:val="24"/>
          <w:szCs w:val="24"/>
          <w:lang w:eastAsia="zh-CN"/>
        </w:rPr>
        <w:t>序号</w:t>
      </w:r>
      <w:r>
        <w:rPr>
          <w:rFonts w:hint="eastAsia" w:ascii="黑体" w:eastAsia="黑体"/>
          <w:sz w:val="24"/>
          <w:szCs w:val="24"/>
          <w:u w:val="single"/>
          <w:lang w:val="en-US" w:eastAsia="zh-CN"/>
        </w:rPr>
        <w:t xml:space="preserve">        </w:t>
      </w:r>
      <w:r>
        <w:rPr>
          <w:rFonts w:hint="eastAsia" w:ascii="黑体" w:eastAsia="黑体"/>
          <w:sz w:val="24"/>
          <w:szCs w:val="24"/>
          <w:u w:val="none"/>
          <w:lang w:val="en-US" w:eastAsia="zh-CN"/>
        </w:rPr>
        <w:t xml:space="preserve">              参赛教师</w:t>
      </w:r>
      <w:r>
        <w:rPr>
          <w:rFonts w:hint="eastAsia" w:ascii="黑体" w:eastAsia="黑体"/>
          <w:sz w:val="24"/>
          <w:szCs w:val="24"/>
          <w:u w:val="single"/>
          <w:lang w:val="en-US" w:eastAsia="zh-CN"/>
        </w:rPr>
        <w:t xml:space="preserve">              </w:t>
      </w:r>
    </w:p>
    <w:tbl>
      <w:tblPr>
        <w:tblStyle w:val="4"/>
        <w:tblW w:w="99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1215"/>
        <w:gridCol w:w="6405"/>
        <w:gridCol w:w="585"/>
        <w:gridCol w:w="10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2" w:hRule="atLeast"/>
          <w:jc w:val="center"/>
        </w:trPr>
        <w:tc>
          <w:tcPr>
            <w:tcW w:w="763" w:type="dxa"/>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黑体" w:hAnsi="黑体" w:eastAsia="黑体" w:cs="黑体"/>
                <w:b w:val="0"/>
                <w:bCs/>
                <w:sz w:val="24"/>
                <w:szCs w:val="24"/>
                <w:lang w:eastAsia="zh-CN"/>
              </w:rPr>
            </w:pPr>
            <w:r>
              <w:rPr>
                <w:rFonts w:hint="eastAsia" w:ascii="黑体" w:hAnsi="黑体" w:eastAsia="黑体" w:cs="黑体"/>
                <w:b w:val="0"/>
                <w:bCs/>
                <w:sz w:val="24"/>
                <w:szCs w:val="24"/>
                <w:lang w:eastAsia="zh-CN"/>
              </w:rPr>
              <w:t>评价项目</w:t>
            </w:r>
          </w:p>
        </w:tc>
        <w:tc>
          <w:tcPr>
            <w:tcW w:w="1215" w:type="dxa"/>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黑体" w:hAnsi="黑体" w:eastAsia="黑体" w:cs="黑体"/>
                <w:b w:val="0"/>
                <w:bCs/>
                <w:sz w:val="24"/>
                <w:szCs w:val="24"/>
                <w:lang w:eastAsia="zh-CN"/>
              </w:rPr>
            </w:pPr>
            <w:r>
              <w:rPr>
                <w:rFonts w:hint="eastAsia" w:ascii="黑体" w:hAnsi="黑体" w:eastAsia="黑体" w:cs="黑体"/>
                <w:b w:val="0"/>
                <w:bCs/>
                <w:sz w:val="24"/>
                <w:szCs w:val="24"/>
                <w:lang w:eastAsia="zh-CN"/>
              </w:rPr>
              <w:t>评价维度</w:t>
            </w:r>
          </w:p>
        </w:tc>
        <w:tc>
          <w:tcPr>
            <w:tcW w:w="6405" w:type="dxa"/>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黑体" w:hAnsi="黑体" w:eastAsia="黑体" w:cs="黑体"/>
                <w:b w:val="0"/>
                <w:bCs/>
                <w:sz w:val="24"/>
                <w:szCs w:val="24"/>
                <w:lang w:eastAsia="zh-CN"/>
              </w:rPr>
            </w:pPr>
            <w:r>
              <w:rPr>
                <w:rFonts w:hint="eastAsia" w:ascii="黑体" w:hAnsi="黑体" w:eastAsia="黑体" w:cs="黑体"/>
                <w:b w:val="0"/>
                <w:bCs/>
                <w:sz w:val="24"/>
                <w:szCs w:val="24"/>
                <w:lang w:eastAsia="zh-CN"/>
              </w:rPr>
              <w:t>评价要点</w:t>
            </w:r>
          </w:p>
        </w:tc>
        <w:tc>
          <w:tcPr>
            <w:tcW w:w="585" w:type="dxa"/>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黑体" w:hAnsi="黑体" w:eastAsia="黑体" w:cs="黑体"/>
                <w:b w:val="0"/>
                <w:bCs/>
                <w:sz w:val="24"/>
                <w:szCs w:val="24"/>
                <w:lang w:eastAsia="zh-CN"/>
              </w:rPr>
            </w:pPr>
            <w:r>
              <w:rPr>
                <w:rFonts w:hint="eastAsia" w:ascii="黑体" w:hAnsi="黑体" w:eastAsia="黑体" w:cs="黑体"/>
                <w:b w:val="0"/>
                <w:bCs/>
                <w:sz w:val="24"/>
                <w:szCs w:val="24"/>
              </w:rPr>
              <w:t>分</w:t>
            </w:r>
            <w:r>
              <w:rPr>
                <w:rFonts w:hint="eastAsia" w:ascii="黑体" w:hAnsi="黑体" w:eastAsia="黑体" w:cs="黑体"/>
                <w:b w:val="0"/>
                <w:bCs/>
                <w:sz w:val="24"/>
                <w:szCs w:val="24"/>
                <w:lang w:eastAsia="zh-CN"/>
              </w:rPr>
              <w:t>值</w:t>
            </w:r>
          </w:p>
        </w:tc>
        <w:tc>
          <w:tcPr>
            <w:tcW w:w="1002" w:type="dxa"/>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黑体" w:hAnsi="黑体" w:eastAsia="黑体" w:cs="黑体"/>
                <w:b w:val="0"/>
                <w:bCs/>
                <w:sz w:val="24"/>
                <w:szCs w:val="24"/>
              </w:rPr>
            </w:pPr>
            <w:r>
              <w:rPr>
                <w:rFonts w:hint="eastAsia" w:ascii="黑体" w:hAnsi="黑体" w:eastAsia="黑体" w:cs="黑体"/>
                <w:b w:val="0"/>
                <w:bCs/>
                <w:sz w:val="24"/>
                <w:szCs w:val="24"/>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40" w:hRule="atLeast"/>
          <w:jc w:val="center"/>
        </w:trPr>
        <w:tc>
          <w:tcPr>
            <w:tcW w:w="763" w:type="dxa"/>
            <w:vMerge w:val="restart"/>
            <w:tcBorders>
              <w:top w:val="single" w:color="auto" w:sz="4" w:space="0"/>
              <w:left w:val="single" w:color="auto" w:sz="4" w:space="0"/>
              <w:right w:val="single" w:color="auto" w:sz="4" w:space="0"/>
            </w:tcBorders>
            <w:vAlign w:val="center"/>
          </w:tcPr>
          <w:p>
            <w:pPr>
              <w:snapToGrid w:val="0"/>
              <w:jc w:val="center"/>
              <w:rPr>
                <w:rFonts w:hint="eastAsia" w:ascii="黑体" w:hAnsi="黑体" w:eastAsia="黑体" w:cs="黑体"/>
                <w:b w:val="0"/>
                <w:bCs/>
                <w:sz w:val="24"/>
                <w:szCs w:val="24"/>
                <w:lang w:eastAsia="zh-CN"/>
              </w:rPr>
            </w:pPr>
            <w:r>
              <w:rPr>
                <w:rFonts w:hint="eastAsia" w:ascii="黑体" w:hAnsi="黑体" w:eastAsia="黑体" w:cs="黑体"/>
                <w:b w:val="0"/>
                <w:bCs/>
                <w:sz w:val="24"/>
                <w:szCs w:val="24"/>
                <w:lang w:eastAsia="zh-CN"/>
              </w:rPr>
              <w:t>现场教学展示（</w:t>
            </w:r>
            <w:r>
              <w:rPr>
                <w:rFonts w:hint="eastAsia" w:ascii="黑体" w:hAnsi="黑体" w:eastAsia="黑体" w:cs="黑体"/>
                <w:b w:val="0"/>
                <w:bCs/>
                <w:sz w:val="24"/>
                <w:szCs w:val="24"/>
                <w:lang w:val="en-US" w:eastAsia="zh-CN"/>
              </w:rPr>
              <w:t>0.6</w:t>
            </w:r>
            <w:r>
              <w:rPr>
                <w:rFonts w:hint="eastAsia" w:ascii="黑体" w:hAnsi="黑体" w:eastAsia="黑体" w:cs="黑体"/>
                <w:b w:val="0"/>
                <w:bCs/>
                <w:sz w:val="24"/>
                <w:szCs w:val="24"/>
                <w:lang w:eastAsia="zh-CN"/>
              </w:rPr>
              <w:t>）</w:t>
            </w:r>
          </w:p>
        </w:tc>
        <w:tc>
          <w:tcPr>
            <w:tcW w:w="1215" w:type="dxa"/>
            <w:tcBorders>
              <w:top w:val="single" w:color="auto" w:sz="4" w:space="0"/>
              <w:left w:val="single" w:color="auto" w:sz="4" w:space="0"/>
              <w:right w:val="single" w:color="auto" w:sz="4" w:space="0"/>
            </w:tcBorders>
            <w:vAlign w:val="center"/>
          </w:tcPr>
          <w:p>
            <w:pPr>
              <w:snapToGrid w:val="0"/>
              <w:jc w:val="center"/>
              <w:rPr>
                <w:rFonts w:hint="eastAsia" w:ascii="黑体" w:hAnsi="黑体" w:eastAsia="黑体" w:cs="黑体"/>
                <w:b w:val="0"/>
                <w:bCs/>
                <w:sz w:val="24"/>
                <w:szCs w:val="24"/>
              </w:rPr>
            </w:pPr>
            <w:r>
              <w:rPr>
                <w:rFonts w:hint="eastAsia" w:ascii="黑体" w:hAnsi="黑体" w:eastAsia="黑体" w:cs="黑体"/>
                <w:b w:val="0"/>
                <w:bCs/>
                <w:sz w:val="24"/>
                <w:szCs w:val="24"/>
              </w:rPr>
              <w:t>教师素养</w:t>
            </w:r>
          </w:p>
        </w:tc>
        <w:tc>
          <w:tcPr>
            <w:tcW w:w="6405" w:type="dxa"/>
            <w:tcBorders>
              <w:top w:val="single" w:color="auto" w:sz="4" w:space="0"/>
              <w:left w:val="single" w:color="auto" w:sz="4" w:space="0"/>
              <w:right w:val="single" w:color="auto" w:sz="4" w:space="0"/>
            </w:tcBorders>
            <w:vAlign w:val="center"/>
          </w:tcPr>
          <w:p>
            <w:pPr>
              <w:snapToGrid w:val="0"/>
              <w:rPr>
                <w:rFonts w:hint="eastAsia" w:ascii="仿宋" w:hAnsi="仿宋" w:eastAsia="仿宋" w:cs="仿宋"/>
                <w:sz w:val="24"/>
                <w:szCs w:val="24"/>
                <w:lang w:eastAsia="zh-CN"/>
              </w:rPr>
            </w:pPr>
            <w:r>
              <w:rPr>
                <w:rFonts w:hint="eastAsia" w:ascii="仿宋" w:hAnsi="仿宋" w:eastAsia="仿宋" w:cs="仿宋"/>
                <w:sz w:val="24"/>
                <w:szCs w:val="24"/>
                <w:lang w:val="en-US" w:eastAsia="zh-CN"/>
              </w:rPr>
              <w:t>1.</w:t>
            </w:r>
            <w:r>
              <w:rPr>
                <w:rFonts w:hint="eastAsia" w:ascii="仿宋" w:hAnsi="仿宋" w:eastAsia="仿宋" w:cs="仿宋"/>
                <w:sz w:val="24"/>
                <w:szCs w:val="24"/>
              </w:rPr>
              <w:t>政治立场坚定，有强烈家国情怀，具有良好的专业素养、科学精神、人文情怀</w:t>
            </w:r>
            <w:r>
              <w:rPr>
                <w:rFonts w:hint="eastAsia" w:ascii="仿宋" w:hAnsi="仿宋" w:eastAsia="仿宋" w:cs="仿宋"/>
                <w:sz w:val="24"/>
                <w:szCs w:val="24"/>
                <w:lang w:eastAsia="zh-CN"/>
              </w:rPr>
              <w:t>。</w:t>
            </w:r>
          </w:p>
          <w:p>
            <w:pPr>
              <w:snapToGrid w:val="0"/>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为人师表，教态大方，举止得体，备课充分，精神饱满，思路清晰，条理分明。</w:t>
            </w:r>
          </w:p>
        </w:tc>
        <w:tc>
          <w:tcPr>
            <w:tcW w:w="585" w:type="dxa"/>
            <w:tcBorders>
              <w:top w:val="single" w:color="auto" w:sz="4" w:space="0"/>
              <w:left w:val="single" w:color="auto" w:sz="4" w:space="0"/>
              <w:right w:val="single" w:color="auto" w:sz="4" w:space="0"/>
            </w:tcBorders>
            <w:vAlign w:val="center"/>
          </w:tcPr>
          <w:p>
            <w:pPr>
              <w:snapToGrid w:val="0"/>
              <w:jc w:val="center"/>
              <w:rPr>
                <w:rFonts w:hint="eastAsia" w:ascii="仿宋" w:hAnsi="仿宋" w:eastAsia="仿宋" w:cs="仿宋"/>
                <w:sz w:val="24"/>
                <w:szCs w:val="24"/>
                <w:lang w:eastAsia="zh-CN"/>
              </w:rPr>
            </w:pPr>
            <w:r>
              <w:rPr>
                <w:rFonts w:hint="eastAsia" w:ascii="仿宋" w:hAnsi="仿宋" w:eastAsia="仿宋" w:cs="仿宋"/>
                <w:sz w:val="24"/>
                <w:szCs w:val="24"/>
              </w:rPr>
              <w:t>1</w:t>
            </w:r>
            <w:r>
              <w:rPr>
                <w:rFonts w:hint="eastAsia" w:ascii="仿宋" w:hAnsi="仿宋" w:eastAsia="仿宋" w:cs="仿宋"/>
                <w:sz w:val="24"/>
                <w:szCs w:val="24"/>
                <w:lang w:val="en-US" w:eastAsia="zh-CN"/>
              </w:rPr>
              <w:t>0</w:t>
            </w:r>
          </w:p>
        </w:tc>
        <w:tc>
          <w:tcPr>
            <w:tcW w:w="1002" w:type="dxa"/>
            <w:tcBorders>
              <w:top w:val="single" w:color="auto" w:sz="4" w:space="0"/>
              <w:left w:val="single" w:color="auto" w:sz="4" w:space="0"/>
              <w:right w:val="single" w:color="auto" w:sz="4" w:space="0"/>
            </w:tcBorders>
            <w:vAlign w:val="center"/>
          </w:tcPr>
          <w:p>
            <w:pPr>
              <w:snapToGrid w:val="0"/>
              <w:jc w:val="center"/>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13" w:hRule="atLeast"/>
          <w:jc w:val="center"/>
        </w:trPr>
        <w:tc>
          <w:tcPr>
            <w:tcW w:w="763" w:type="dxa"/>
            <w:vMerge w:val="continue"/>
            <w:tcBorders>
              <w:left w:val="single" w:color="auto" w:sz="4" w:space="0"/>
              <w:right w:val="single" w:color="auto" w:sz="4" w:space="0"/>
            </w:tcBorders>
            <w:vAlign w:val="center"/>
          </w:tcPr>
          <w:p>
            <w:pPr>
              <w:snapToGrid w:val="0"/>
              <w:jc w:val="center"/>
              <w:rPr>
                <w:rFonts w:hint="eastAsia" w:ascii="黑体" w:hAnsi="黑体" w:eastAsia="黑体" w:cs="黑体"/>
                <w:b w:val="0"/>
                <w:bCs/>
                <w:sz w:val="24"/>
                <w:szCs w:val="24"/>
              </w:rPr>
            </w:pPr>
          </w:p>
        </w:tc>
        <w:tc>
          <w:tcPr>
            <w:tcW w:w="1215" w:type="dxa"/>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黑体" w:hAnsi="黑体" w:eastAsia="黑体" w:cs="黑体"/>
                <w:b w:val="0"/>
                <w:bCs/>
                <w:sz w:val="24"/>
                <w:szCs w:val="24"/>
              </w:rPr>
            </w:pPr>
            <w:r>
              <w:rPr>
                <w:rFonts w:hint="eastAsia" w:ascii="黑体" w:hAnsi="黑体" w:eastAsia="黑体" w:cs="黑体"/>
                <w:b w:val="0"/>
                <w:bCs/>
                <w:sz w:val="24"/>
                <w:szCs w:val="24"/>
              </w:rPr>
              <w:t>教学内容</w:t>
            </w:r>
          </w:p>
        </w:tc>
        <w:tc>
          <w:tcPr>
            <w:tcW w:w="6405" w:type="dxa"/>
            <w:tcBorders>
              <w:top w:val="single" w:color="auto" w:sz="4" w:space="0"/>
              <w:left w:val="single" w:color="auto" w:sz="4" w:space="0"/>
              <w:bottom w:val="single" w:color="auto" w:sz="4" w:space="0"/>
              <w:right w:val="single" w:color="auto" w:sz="4" w:space="0"/>
            </w:tcBorders>
            <w:vAlign w:val="center"/>
          </w:tcPr>
          <w:p>
            <w:pPr>
              <w:snapToGrid w:val="0"/>
              <w:rPr>
                <w:rFonts w:hint="eastAsia" w:ascii="仿宋" w:hAnsi="仿宋" w:eastAsia="仿宋" w:cs="仿宋"/>
                <w:sz w:val="24"/>
                <w:szCs w:val="24"/>
                <w:lang w:eastAsia="zh-CN"/>
              </w:rPr>
            </w:pPr>
            <w:r>
              <w:rPr>
                <w:rFonts w:hint="eastAsia" w:ascii="仿宋" w:hAnsi="仿宋" w:eastAsia="仿宋" w:cs="仿宋"/>
                <w:sz w:val="24"/>
                <w:szCs w:val="24"/>
                <w:lang w:val="en-US" w:eastAsia="zh-CN"/>
              </w:rPr>
              <w:t>1.</w:t>
            </w:r>
            <w:r>
              <w:rPr>
                <w:rFonts w:hint="eastAsia" w:ascii="仿宋" w:hAnsi="仿宋" w:eastAsia="仿宋" w:cs="仿宋"/>
                <w:sz w:val="24"/>
                <w:szCs w:val="24"/>
              </w:rPr>
              <w:t>围绕本课程教学大纲及授课对象，提炼专业课程蕴含的思政教育元素，有明确的课程思政教学目标</w:t>
            </w:r>
            <w:r>
              <w:rPr>
                <w:rFonts w:hint="eastAsia" w:ascii="仿宋" w:hAnsi="仿宋" w:eastAsia="仿宋" w:cs="仿宋"/>
                <w:sz w:val="24"/>
                <w:szCs w:val="24"/>
                <w:lang w:eastAsia="zh-CN"/>
              </w:rPr>
              <w:t>。</w:t>
            </w:r>
          </w:p>
          <w:p>
            <w:pPr>
              <w:snapToGrid w:val="0"/>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课程设计方面能将思政教育巧妙渗透到教学全过程中。教学目标、教学内容和教学方法中能体现出“课程思政”痕迹</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3.</w:t>
            </w:r>
            <w:r>
              <w:rPr>
                <w:rFonts w:hint="eastAsia" w:ascii="仿宋" w:hAnsi="仿宋" w:eastAsia="仿宋" w:cs="仿宋"/>
                <w:sz w:val="24"/>
                <w:szCs w:val="24"/>
              </w:rPr>
              <w:t>注重引用和挖掘与本课程相关的课程思政资源，使用或启动编写高质量的配套教材。</w:t>
            </w:r>
          </w:p>
        </w:tc>
        <w:tc>
          <w:tcPr>
            <w:tcW w:w="585" w:type="dxa"/>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仿宋" w:hAnsi="仿宋" w:eastAsia="仿宋" w:cs="仿宋"/>
                <w:sz w:val="24"/>
                <w:szCs w:val="24"/>
              </w:rPr>
            </w:pPr>
            <w:r>
              <w:rPr>
                <w:rFonts w:hint="eastAsia" w:ascii="仿宋" w:hAnsi="仿宋" w:eastAsia="仿宋" w:cs="仿宋"/>
                <w:sz w:val="24"/>
                <w:szCs w:val="24"/>
              </w:rPr>
              <w:t>25</w:t>
            </w:r>
          </w:p>
        </w:tc>
        <w:tc>
          <w:tcPr>
            <w:tcW w:w="1002" w:type="dxa"/>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93" w:hRule="atLeast"/>
          <w:jc w:val="center"/>
        </w:trPr>
        <w:tc>
          <w:tcPr>
            <w:tcW w:w="763" w:type="dxa"/>
            <w:vMerge w:val="continue"/>
            <w:tcBorders>
              <w:left w:val="single" w:color="auto" w:sz="4" w:space="0"/>
              <w:right w:val="single" w:color="auto" w:sz="4" w:space="0"/>
            </w:tcBorders>
            <w:vAlign w:val="center"/>
          </w:tcPr>
          <w:p>
            <w:pPr>
              <w:snapToGrid w:val="0"/>
              <w:jc w:val="center"/>
              <w:rPr>
                <w:rFonts w:hint="eastAsia" w:ascii="黑体" w:hAnsi="黑体" w:eastAsia="黑体" w:cs="黑体"/>
                <w:b w:val="0"/>
                <w:bCs/>
                <w:sz w:val="24"/>
                <w:szCs w:val="24"/>
              </w:rPr>
            </w:pPr>
          </w:p>
        </w:tc>
        <w:tc>
          <w:tcPr>
            <w:tcW w:w="1215" w:type="dxa"/>
            <w:tcBorders>
              <w:left w:val="single" w:color="auto" w:sz="4" w:space="0"/>
              <w:right w:val="single" w:color="auto" w:sz="4" w:space="0"/>
            </w:tcBorders>
            <w:vAlign w:val="center"/>
          </w:tcPr>
          <w:p>
            <w:pPr>
              <w:snapToGrid w:val="0"/>
              <w:jc w:val="center"/>
              <w:rPr>
                <w:rFonts w:hint="eastAsia" w:ascii="黑体" w:hAnsi="黑体" w:eastAsia="黑体" w:cs="黑体"/>
                <w:b w:val="0"/>
                <w:bCs/>
                <w:sz w:val="24"/>
                <w:szCs w:val="24"/>
              </w:rPr>
            </w:pPr>
            <w:r>
              <w:rPr>
                <w:rFonts w:hint="eastAsia" w:ascii="黑体" w:hAnsi="黑体" w:eastAsia="黑体" w:cs="黑体"/>
                <w:b w:val="0"/>
                <w:bCs/>
                <w:sz w:val="24"/>
                <w:szCs w:val="24"/>
              </w:rPr>
              <w:t>教学改革</w:t>
            </w:r>
          </w:p>
        </w:tc>
        <w:tc>
          <w:tcPr>
            <w:tcW w:w="6405" w:type="dxa"/>
            <w:tcBorders>
              <w:left w:val="single" w:color="auto" w:sz="4" w:space="0"/>
              <w:bottom w:val="single" w:color="auto" w:sz="4" w:space="0"/>
              <w:right w:val="single" w:color="auto" w:sz="4" w:space="0"/>
            </w:tcBorders>
            <w:vAlign w:val="center"/>
          </w:tcPr>
          <w:p>
            <w:pPr>
              <w:snapToGrid w:val="0"/>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采用多样化的教学方法，如启发式</w:t>
            </w:r>
            <w:r>
              <w:rPr>
                <w:rFonts w:hint="eastAsia" w:ascii="仿宋" w:hAnsi="仿宋" w:eastAsia="仿宋" w:cs="仿宋"/>
                <w:sz w:val="24"/>
                <w:szCs w:val="24"/>
                <w:lang w:eastAsia="zh-CN"/>
              </w:rPr>
              <w:t>、</w:t>
            </w:r>
            <w:r>
              <w:rPr>
                <w:rFonts w:hint="eastAsia" w:ascii="仿宋" w:hAnsi="仿宋" w:eastAsia="仿宋" w:cs="仿宋"/>
                <w:sz w:val="24"/>
                <w:szCs w:val="24"/>
              </w:rPr>
              <w:t>案例式</w:t>
            </w:r>
            <w:r>
              <w:rPr>
                <w:rFonts w:hint="eastAsia" w:ascii="仿宋" w:hAnsi="仿宋" w:eastAsia="仿宋" w:cs="仿宋"/>
                <w:sz w:val="24"/>
                <w:szCs w:val="24"/>
                <w:lang w:eastAsia="zh-CN"/>
              </w:rPr>
              <w:t>、</w:t>
            </w:r>
            <w:r>
              <w:rPr>
                <w:rFonts w:hint="eastAsia" w:ascii="仿宋" w:hAnsi="仿宋" w:eastAsia="仿宋" w:cs="仿宋"/>
                <w:sz w:val="24"/>
                <w:szCs w:val="24"/>
              </w:rPr>
              <w:t>延伸阅读式</w:t>
            </w:r>
            <w:r>
              <w:rPr>
                <w:rFonts w:hint="eastAsia" w:ascii="仿宋" w:hAnsi="仿宋" w:eastAsia="仿宋" w:cs="仿宋"/>
                <w:sz w:val="24"/>
                <w:szCs w:val="24"/>
                <w:lang w:eastAsia="zh-CN"/>
              </w:rPr>
              <w:t>、</w:t>
            </w:r>
            <w:r>
              <w:rPr>
                <w:rFonts w:hint="eastAsia" w:ascii="仿宋" w:hAnsi="仿宋" w:eastAsia="仿宋" w:cs="仿宋"/>
                <w:sz w:val="24"/>
                <w:szCs w:val="24"/>
              </w:rPr>
              <w:t>研讨式上PBL等帮助学生树立正确的“三观”。</w:t>
            </w:r>
          </w:p>
          <w:p>
            <w:pPr>
              <w:snapToGrid w:val="0"/>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教学手段上推动现代教育技术与课程思政的深度融合，将思政教育巧妙渗透到教学过程中，教学内容呈现恰当，教学活动组织不生硬。</w:t>
            </w:r>
          </w:p>
          <w:p>
            <w:pPr>
              <w:snapToGrid w:val="0"/>
              <w:rPr>
                <w:rFonts w:hint="eastAsia" w:ascii="仿宋" w:hAnsi="仿宋" w:eastAsia="仿宋" w:cs="仿宋"/>
                <w:sz w:val="24"/>
                <w:szCs w:val="24"/>
              </w:rPr>
            </w:pPr>
            <w:r>
              <w:rPr>
                <w:rFonts w:hint="eastAsia" w:ascii="仿宋" w:hAnsi="仿宋" w:eastAsia="仿宋" w:cs="仿宋"/>
                <w:sz w:val="24"/>
                <w:szCs w:val="24"/>
                <w:lang w:val="en-US" w:eastAsia="zh-CN"/>
              </w:rPr>
              <w:t>3.</w:t>
            </w:r>
            <w:r>
              <w:rPr>
                <w:rFonts w:hint="eastAsia" w:ascii="仿宋" w:hAnsi="仿宋" w:eastAsia="仿宋" w:cs="仿宋"/>
                <w:sz w:val="24"/>
                <w:szCs w:val="24"/>
              </w:rPr>
              <w:t>课程考核中能将思政元素融入课程过程考核和结果考核所涵盖的知识、能力和素质中。</w:t>
            </w:r>
          </w:p>
        </w:tc>
        <w:tc>
          <w:tcPr>
            <w:tcW w:w="585" w:type="dxa"/>
            <w:tcBorders>
              <w:top w:val="single" w:color="auto" w:sz="4" w:space="0"/>
              <w:left w:val="single" w:color="auto" w:sz="4" w:space="0"/>
              <w:right w:val="single" w:color="auto" w:sz="4" w:space="0"/>
            </w:tcBorders>
            <w:vAlign w:val="center"/>
          </w:tcPr>
          <w:p>
            <w:pPr>
              <w:snapToGrid w:val="0"/>
              <w:jc w:val="center"/>
              <w:rPr>
                <w:rFonts w:hint="eastAsia" w:ascii="仿宋" w:hAnsi="仿宋" w:eastAsia="仿宋" w:cs="仿宋"/>
                <w:sz w:val="24"/>
                <w:szCs w:val="24"/>
              </w:rPr>
            </w:pPr>
            <w:r>
              <w:rPr>
                <w:rFonts w:hint="eastAsia" w:ascii="仿宋" w:hAnsi="仿宋" w:eastAsia="仿宋" w:cs="仿宋"/>
                <w:sz w:val="24"/>
                <w:szCs w:val="24"/>
              </w:rPr>
              <w:t>25</w:t>
            </w:r>
          </w:p>
        </w:tc>
        <w:tc>
          <w:tcPr>
            <w:tcW w:w="1002" w:type="dxa"/>
            <w:tcBorders>
              <w:top w:val="single" w:color="auto" w:sz="4" w:space="0"/>
              <w:left w:val="single" w:color="auto" w:sz="4" w:space="0"/>
              <w:right w:val="single" w:color="auto" w:sz="4" w:space="0"/>
            </w:tcBorders>
            <w:vAlign w:val="center"/>
          </w:tcPr>
          <w:p>
            <w:pPr>
              <w:snapToGrid w:val="0"/>
              <w:jc w:val="center"/>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92" w:hRule="atLeast"/>
          <w:jc w:val="center"/>
        </w:trPr>
        <w:tc>
          <w:tcPr>
            <w:tcW w:w="763" w:type="dxa"/>
            <w:vMerge w:val="continue"/>
            <w:tcBorders>
              <w:left w:val="single" w:color="auto" w:sz="4" w:space="0"/>
              <w:right w:val="single" w:color="auto" w:sz="4" w:space="0"/>
            </w:tcBorders>
            <w:vAlign w:val="center"/>
          </w:tcPr>
          <w:p>
            <w:pPr>
              <w:snapToGrid w:val="0"/>
              <w:jc w:val="center"/>
              <w:rPr>
                <w:rFonts w:hint="eastAsia" w:ascii="黑体" w:hAnsi="黑体" w:eastAsia="黑体" w:cs="黑体"/>
                <w:b w:val="0"/>
                <w:bCs/>
                <w:sz w:val="24"/>
                <w:szCs w:val="24"/>
              </w:rPr>
            </w:pPr>
          </w:p>
        </w:tc>
        <w:tc>
          <w:tcPr>
            <w:tcW w:w="1215" w:type="dxa"/>
            <w:tcBorders>
              <w:top w:val="single" w:color="auto" w:sz="4" w:space="0"/>
              <w:left w:val="single" w:color="auto" w:sz="4" w:space="0"/>
              <w:right w:val="single" w:color="auto" w:sz="4" w:space="0"/>
            </w:tcBorders>
            <w:vAlign w:val="center"/>
          </w:tcPr>
          <w:p>
            <w:pPr>
              <w:snapToGrid w:val="0"/>
              <w:jc w:val="center"/>
              <w:rPr>
                <w:rFonts w:hint="eastAsia" w:ascii="黑体" w:hAnsi="黑体" w:eastAsia="黑体" w:cs="黑体"/>
                <w:b w:val="0"/>
                <w:bCs/>
                <w:sz w:val="24"/>
                <w:szCs w:val="24"/>
              </w:rPr>
            </w:pPr>
            <w:r>
              <w:rPr>
                <w:rFonts w:hint="eastAsia" w:ascii="黑体" w:hAnsi="黑体" w:eastAsia="黑体" w:cs="黑体"/>
                <w:b w:val="0"/>
                <w:bCs/>
                <w:sz w:val="24"/>
                <w:szCs w:val="24"/>
              </w:rPr>
              <w:t>教学效果</w:t>
            </w:r>
          </w:p>
        </w:tc>
        <w:tc>
          <w:tcPr>
            <w:tcW w:w="6405" w:type="dxa"/>
            <w:tcBorders>
              <w:top w:val="single" w:color="auto" w:sz="4" w:space="0"/>
              <w:left w:val="single" w:color="auto" w:sz="4" w:space="0"/>
              <w:right w:val="single" w:color="auto" w:sz="4" w:space="0"/>
            </w:tcBorders>
            <w:vAlign w:val="center"/>
          </w:tcPr>
          <w:p>
            <w:pPr>
              <w:snapToGrid w:val="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1.注重思想政治教育和价值引领，有效达成教学目标，效果明显。</w:t>
            </w:r>
          </w:p>
          <w:p>
            <w:pPr>
              <w:snapToGrid w:val="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2.教学语言规范、教学逻辑严谨，感染力强，课堂教学气氛好。</w:t>
            </w:r>
          </w:p>
          <w:p>
            <w:pPr>
              <w:snapToGrid w:val="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3.能够为学生搭建或延伸使用课外学习平台，引导学生进行自主学习和自主评价。</w:t>
            </w:r>
          </w:p>
        </w:tc>
        <w:tc>
          <w:tcPr>
            <w:tcW w:w="585" w:type="dxa"/>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仿宋" w:hAnsi="仿宋" w:eastAsia="仿宋" w:cs="仿宋"/>
                <w:sz w:val="24"/>
                <w:szCs w:val="24"/>
              </w:rPr>
            </w:pPr>
            <w:r>
              <w:rPr>
                <w:rFonts w:hint="eastAsia" w:ascii="仿宋" w:hAnsi="仿宋" w:eastAsia="仿宋" w:cs="仿宋"/>
                <w:sz w:val="24"/>
                <w:szCs w:val="24"/>
              </w:rPr>
              <w:t>20</w:t>
            </w:r>
          </w:p>
        </w:tc>
        <w:tc>
          <w:tcPr>
            <w:tcW w:w="1002" w:type="dxa"/>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7" w:hRule="atLeast"/>
          <w:jc w:val="center"/>
        </w:trPr>
        <w:tc>
          <w:tcPr>
            <w:tcW w:w="763" w:type="dxa"/>
            <w:vMerge w:val="continue"/>
            <w:tcBorders>
              <w:left w:val="single" w:color="auto" w:sz="4" w:space="0"/>
              <w:right w:val="single" w:color="auto" w:sz="4" w:space="0"/>
            </w:tcBorders>
            <w:vAlign w:val="center"/>
          </w:tcPr>
          <w:p>
            <w:pPr>
              <w:snapToGrid w:val="0"/>
              <w:jc w:val="center"/>
              <w:rPr>
                <w:rFonts w:hint="eastAsia" w:ascii="黑体" w:hAnsi="黑体" w:eastAsia="黑体" w:cs="黑体"/>
                <w:b w:val="0"/>
                <w:bCs/>
                <w:sz w:val="24"/>
                <w:szCs w:val="24"/>
              </w:rPr>
            </w:pPr>
          </w:p>
        </w:tc>
        <w:tc>
          <w:tcPr>
            <w:tcW w:w="1215" w:type="dxa"/>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黑体" w:hAnsi="黑体" w:eastAsia="黑体" w:cs="黑体"/>
                <w:b w:val="0"/>
                <w:bCs/>
                <w:sz w:val="24"/>
                <w:szCs w:val="24"/>
              </w:rPr>
            </w:pPr>
            <w:r>
              <w:rPr>
                <w:rFonts w:hint="eastAsia" w:ascii="黑体" w:hAnsi="黑体" w:eastAsia="黑体" w:cs="黑体"/>
                <w:b w:val="0"/>
                <w:bCs/>
                <w:sz w:val="24"/>
                <w:szCs w:val="24"/>
              </w:rPr>
              <w:t>特色创新</w:t>
            </w:r>
          </w:p>
        </w:tc>
        <w:tc>
          <w:tcPr>
            <w:tcW w:w="6405" w:type="dxa"/>
            <w:tcBorders>
              <w:top w:val="single" w:color="auto" w:sz="4" w:space="0"/>
              <w:left w:val="single" w:color="auto" w:sz="4" w:space="0"/>
              <w:bottom w:val="single" w:color="auto" w:sz="4" w:space="0"/>
              <w:right w:val="single" w:color="auto" w:sz="4" w:space="0"/>
            </w:tcBorders>
            <w:vAlign w:val="center"/>
          </w:tcPr>
          <w:p>
            <w:pPr>
              <w:snapToGrid w:val="0"/>
              <w:rPr>
                <w:rFonts w:hint="eastAsia" w:ascii="仿宋" w:hAnsi="仿宋" w:eastAsia="仿宋" w:cs="仿宋"/>
                <w:sz w:val="24"/>
                <w:szCs w:val="24"/>
              </w:rPr>
            </w:pPr>
            <w:r>
              <w:rPr>
                <w:rFonts w:hint="eastAsia" w:ascii="仿宋" w:hAnsi="仿宋" w:eastAsia="仿宋" w:cs="仿宋"/>
                <w:sz w:val="24"/>
                <w:szCs w:val="24"/>
              </w:rPr>
              <w:t>个人教学特色突出。思政育人效果好，特色鲜明，具有较强的示范性。</w:t>
            </w:r>
          </w:p>
        </w:tc>
        <w:tc>
          <w:tcPr>
            <w:tcW w:w="585" w:type="dxa"/>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仿宋" w:hAnsi="仿宋" w:eastAsia="仿宋" w:cs="仿宋"/>
                <w:sz w:val="24"/>
                <w:szCs w:val="24"/>
                <w:lang w:eastAsia="zh-CN"/>
              </w:rPr>
            </w:pPr>
            <w:r>
              <w:rPr>
                <w:rFonts w:hint="eastAsia" w:ascii="仿宋" w:hAnsi="仿宋" w:eastAsia="仿宋" w:cs="仿宋"/>
                <w:sz w:val="24"/>
                <w:szCs w:val="24"/>
              </w:rPr>
              <w:t>1</w:t>
            </w:r>
            <w:r>
              <w:rPr>
                <w:rFonts w:hint="eastAsia" w:ascii="仿宋" w:hAnsi="仿宋" w:eastAsia="仿宋" w:cs="仿宋"/>
                <w:sz w:val="24"/>
                <w:szCs w:val="24"/>
                <w:lang w:val="en-US" w:eastAsia="zh-CN"/>
              </w:rPr>
              <w:t>0</w:t>
            </w:r>
          </w:p>
        </w:tc>
        <w:tc>
          <w:tcPr>
            <w:tcW w:w="1002" w:type="dxa"/>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7" w:hRule="atLeast"/>
          <w:jc w:val="center"/>
        </w:trPr>
        <w:tc>
          <w:tcPr>
            <w:tcW w:w="763" w:type="dxa"/>
            <w:vMerge w:val="continue"/>
            <w:tcBorders>
              <w:left w:val="single" w:color="auto" w:sz="4" w:space="0"/>
              <w:right w:val="single" w:color="auto" w:sz="4" w:space="0"/>
            </w:tcBorders>
            <w:vAlign w:val="center"/>
          </w:tcPr>
          <w:p>
            <w:pPr>
              <w:snapToGrid w:val="0"/>
              <w:jc w:val="center"/>
              <w:rPr>
                <w:rFonts w:hint="eastAsia" w:ascii="黑体" w:hAnsi="黑体" w:eastAsia="黑体" w:cs="黑体"/>
                <w:b w:val="0"/>
                <w:bCs/>
                <w:sz w:val="24"/>
                <w:szCs w:val="24"/>
              </w:rPr>
            </w:pPr>
          </w:p>
        </w:tc>
        <w:tc>
          <w:tcPr>
            <w:tcW w:w="1215" w:type="dxa"/>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黑体" w:hAnsi="黑体" w:eastAsia="黑体" w:cs="黑体"/>
                <w:b w:val="0"/>
                <w:bCs/>
                <w:sz w:val="24"/>
                <w:szCs w:val="24"/>
                <w:lang w:eastAsia="zh-CN"/>
              </w:rPr>
            </w:pPr>
            <w:r>
              <w:rPr>
                <w:rFonts w:hint="eastAsia" w:ascii="黑体" w:hAnsi="黑体" w:eastAsia="黑体" w:cs="黑体"/>
                <w:b w:val="0"/>
                <w:bCs/>
                <w:sz w:val="24"/>
                <w:szCs w:val="24"/>
                <w:lang w:eastAsia="zh-CN"/>
              </w:rPr>
              <w:t>现场答辩</w:t>
            </w:r>
          </w:p>
        </w:tc>
        <w:tc>
          <w:tcPr>
            <w:tcW w:w="6405" w:type="dxa"/>
            <w:tcBorders>
              <w:top w:val="single" w:color="auto" w:sz="4" w:space="0"/>
              <w:left w:val="single" w:color="auto" w:sz="4" w:space="0"/>
              <w:bottom w:val="single" w:color="auto" w:sz="4" w:space="0"/>
              <w:right w:val="single" w:color="auto" w:sz="4" w:space="0"/>
            </w:tcBorders>
            <w:vAlign w:val="center"/>
          </w:tcPr>
          <w:p>
            <w:pPr>
              <w:snapToGrid w:val="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审题准确，突出重点；围绕话题，思路清晰，表述流畅；逻辑性强，具有感染力；从容自然，心理素质好。</w:t>
            </w:r>
          </w:p>
        </w:tc>
        <w:tc>
          <w:tcPr>
            <w:tcW w:w="585" w:type="dxa"/>
            <w:tcBorders>
              <w:top w:val="single" w:color="auto" w:sz="4" w:space="0"/>
              <w:left w:val="single" w:color="auto" w:sz="4" w:space="0"/>
              <w:bottom w:val="single" w:color="auto" w:sz="4" w:space="0"/>
              <w:right w:val="single" w:color="auto" w:sz="4" w:space="0"/>
            </w:tcBorders>
            <w:vAlign w:val="center"/>
          </w:tcPr>
          <w:p>
            <w:pPr>
              <w:snapToGrid w:val="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10</w:t>
            </w:r>
          </w:p>
        </w:tc>
        <w:tc>
          <w:tcPr>
            <w:tcW w:w="1002" w:type="dxa"/>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1" w:hRule="atLeast"/>
          <w:jc w:val="center"/>
        </w:trPr>
        <w:tc>
          <w:tcPr>
            <w:tcW w:w="763" w:type="dxa"/>
            <w:vMerge w:val="continue"/>
            <w:tcBorders>
              <w:left w:val="single" w:color="auto" w:sz="4" w:space="0"/>
              <w:right w:val="single" w:color="auto" w:sz="4" w:space="0"/>
            </w:tcBorders>
            <w:vAlign w:val="center"/>
          </w:tcPr>
          <w:p>
            <w:pPr>
              <w:snapToGrid w:val="0"/>
              <w:jc w:val="center"/>
              <w:rPr>
                <w:rFonts w:hint="eastAsia" w:ascii="黑体" w:hAnsi="黑体" w:eastAsia="黑体" w:cs="黑体"/>
                <w:b w:val="0"/>
                <w:bCs/>
                <w:sz w:val="24"/>
                <w:szCs w:val="24"/>
              </w:rPr>
            </w:pPr>
          </w:p>
        </w:tc>
        <w:tc>
          <w:tcPr>
            <w:tcW w:w="7620" w:type="dxa"/>
            <w:gridSpan w:val="2"/>
            <w:tcBorders>
              <w:top w:val="single" w:color="auto" w:sz="4" w:space="0"/>
              <w:left w:val="single" w:color="auto" w:sz="4" w:space="0"/>
              <w:right w:val="single" w:color="auto" w:sz="4" w:space="0"/>
            </w:tcBorders>
            <w:vAlign w:val="center"/>
          </w:tcPr>
          <w:p>
            <w:pPr>
              <w:snapToGrid w:val="0"/>
              <w:ind w:firstLine="391" w:firstLineChars="163"/>
              <w:jc w:val="center"/>
              <w:rPr>
                <w:rFonts w:hint="eastAsia" w:ascii="仿宋" w:hAnsi="仿宋" w:eastAsia="仿宋" w:cs="仿宋"/>
                <w:sz w:val="24"/>
                <w:szCs w:val="24"/>
                <w:lang w:eastAsia="zh-CN"/>
              </w:rPr>
            </w:pPr>
            <w:r>
              <w:rPr>
                <w:rFonts w:hint="eastAsia" w:ascii="黑体" w:hAnsi="黑体" w:eastAsia="黑体" w:cs="黑体"/>
                <w:sz w:val="24"/>
                <w:szCs w:val="24"/>
                <w:lang w:eastAsia="zh-CN"/>
              </w:rPr>
              <w:t>总分</w:t>
            </w:r>
          </w:p>
        </w:tc>
        <w:tc>
          <w:tcPr>
            <w:tcW w:w="1587"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仿宋" w:hAnsi="仿宋" w:eastAsia="仿宋" w:cs="仿宋"/>
                <w:sz w:val="24"/>
                <w:szCs w:val="24"/>
              </w:rPr>
            </w:pPr>
          </w:p>
        </w:tc>
      </w:tr>
    </w:tbl>
    <w:p>
      <w:pPr>
        <w:keepNext w:val="0"/>
        <w:keepLines w:val="0"/>
        <w:pageBreakBefore w:val="0"/>
        <w:widowControl w:val="0"/>
        <w:kinsoku/>
        <w:wordWrap/>
        <w:overflowPunct/>
        <w:topLinePunct w:val="0"/>
        <w:autoSpaceDE/>
        <w:autoSpaceDN/>
        <w:bidi w:val="0"/>
        <w:adjustRightInd/>
        <w:snapToGrid/>
        <w:spacing w:before="157" w:beforeLines="50"/>
        <w:jc w:val="center"/>
        <w:textAlignment w:val="auto"/>
        <w:rPr>
          <w:rFonts w:hint="eastAsia" w:ascii="黑体" w:eastAsia="黑体"/>
          <w:sz w:val="32"/>
          <w:szCs w:val="32"/>
        </w:rPr>
      </w:pPr>
      <w:r>
        <w:rPr>
          <w:rFonts w:hint="eastAsia" w:ascii="仿宋_GB2312" w:hAnsi="仿宋_GB2312" w:eastAsia="仿宋_GB2312" w:cs="仿宋_GB2312"/>
          <w:b/>
          <w:bCs/>
          <w:sz w:val="28"/>
          <w:szCs w:val="28"/>
        </w:rPr>
        <w:t>评委签字:</w:t>
      </w:r>
      <w:r>
        <w:rPr>
          <w:rFonts w:ascii="仿宋_GB2312" w:hAnsi="仿宋_GB2312" w:eastAsia="仿宋_GB2312" w:cs="仿宋_GB2312"/>
          <w:b/>
          <w:bCs/>
          <w:sz w:val="28"/>
          <w:szCs w:val="28"/>
          <w:u w:val="single"/>
        </w:rPr>
        <w:t xml:space="preserve">             </w:t>
      </w:r>
      <w:r>
        <w:rPr>
          <w:rFonts w:ascii="仿宋_GB2312" w:hAnsi="仿宋_GB2312" w:eastAsia="仿宋_GB2312" w:cs="仿宋_GB2312"/>
          <w:b/>
          <w:bCs/>
          <w:sz w:val="28"/>
          <w:szCs w:val="28"/>
        </w:rPr>
        <w:t xml:space="preserve">        </w:t>
      </w:r>
      <w:r>
        <w:rPr>
          <w:rFonts w:hint="eastAsia" w:ascii="仿宋_GB2312" w:hAnsi="仿宋_GB2312" w:eastAsia="仿宋_GB2312" w:cs="仿宋_GB2312"/>
          <w:b/>
          <w:bCs/>
          <w:sz w:val="28"/>
          <w:szCs w:val="28"/>
          <w:lang w:val="en-US" w:eastAsia="zh-CN"/>
        </w:rPr>
        <w:t>2023</w:t>
      </w:r>
      <w:r>
        <w:rPr>
          <w:rFonts w:ascii="仿宋_GB2312" w:hAnsi="仿宋_GB2312" w:eastAsia="仿宋_GB2312" w:cs="仿宋_GB2312"/>
          <w:b/>
          <w:bCs/>
          <w:sz w:val="28"/>
          <w:szCs w:val="28"/>
        </w:rPr>
        <w:t xml:space="preserve"> </w:t>
      </w:r>
      <w:r>
        <w:rPr>
          <w:rFonts w:hint="eastAsia" w:ascii="仿宋_GB2312" w:hAnsi="仿宋_GB2312" w:eastAsia="仿宋_GB2312" w:cs="仿宋_GB2312"/>
          <w:b/>
          <w:bCs/>
          <w:sz w:val="28"/>
          <w:szCs w:val="28"/>
        </w:rPr>
        <w:t xml:space="preserve">年 </w:t>
      </w:r>
      <w:r>
        <w:rPr>
          <w:rFonts w:ascii="仿宋_GB2312" w:hAnsi="仿宋_GB2312" w:eastAsia="仿宋_GB2312" w:cs="仿宋_GB2312"/>
          <w:b/>
          <w:bCs/>
          <w:sz w:val="28"/>
          <w:szCs w:val="28"/>
        </w:rPr>
        <w:t xml:space="preserve">  </w:t>
      </w:r>
      <w:r>
        <w:rPr>
          <w:rFonts w:hint="eastAsia" w:ascii="仿宋_GB2312" w:hAnsi="仿宋_GB2312" w:eastAsia="仿宋_GB2312" w:cs="仿宋_GB2312"/>
          <w:b/>
          <w:bCs/>
          <w:sz w:val="28"/>
          <w:szCs w:val="28"/>
        </w:rPr>
        <w:t xml:space="preserve">月 </w:t>
      </w:r>
      <w:r>
        <w:rPr>
          <w:rFonts w:ascii="仿宋_GB2312" w:hAnsi="仿宋_GB2312" w:eastAsia="仿宋_GB2312" w:cs="仿宋_GB2312"/>
          <w:b/>
          <w:bCs/>
          <w:sz w:val="28"/>
          <w:szCs w:val="28"/>
        </w:rPr>
        <w:t xml:space="preserve">  </w:t>
      </w:r>
      <w:r>
        <w:rPr>
          <w:rFonts w:hint="eastAsia" w:ascii="仿宋_GB2312" w:hAnsi="仿宋_GB2312" w:eastAsia="仿宋_GB2312" w:cs="仿宋_GB2312"/>
          <w:b/>
          <w:bCs/>
          <w:sz w:val="28"/>
          <w:szCs w:val="28"/>
        </w:rPr>
        <w:t>日</w:t>
      </w:r>
    </w:p>
    <w:sectPr>
      <w:footerReference r:id="rId3" w:type="default"/>
      <w:pgSz w:w="11906" w:h="16838"/>
      <w:pgMar w:top="1553" w:right="1800" w:bottom="1553"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1E4546"/>
    <w:multiLevelType w:val="singleLevel"/>
    <w:tmpl w:val="BD1E4546"/>
    <w:lvl w:ilvl="0" w:tentative="0">
      <w:start w:val="2"/>
      <w:numFmt w:val="chineseCounting"/>
      <w:suff w:val="nothing"/>
      <w:lvlText w:val="%1、"/>
      <w:lvlJc w:val="left"/>
      <w:rPr>
        <w:rFonts w:hint="eastAsia"/>
      </w:rPr>
    </w:lvl>
  </w:abstractNum>
  <w:abstractNum w:abstractNumId="1">
    <w:nsid w:val="F176ABBE"/>
    <w:multiLevelType w:val="singleLevel"/>
    <w:tmpl w:val="F176ABBE"/>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M5MzI1NzVhZDUwNmEyNmIzODJlZWJkMDZiZjcxM2EifQ=="/>
  </w:docVars>
  <w:rsids>
    <w:rsidRoot w:val="3CFC7EB2"/>
    <w:rsid w:val="00000332"/>
    <w:rsid w:val="00002DC6"/>
    <w:rsid w:val="00005334"/>
    <w:rsid w:val="00007B49"/>
    <w:rsid w:val="0001122A"/>
    <w:rsid w:val="00017683"/>
    <w:rsid w:val="00022487"/>
    <w:rsid w:val="00023AC4"/>
    <w:rsid w:val="000256E6"/>
    <w:rsid w:val="0002670D"/>
    <w:rsid w:val="00030535"/>
    <w:rsid w:val="00034CB0"/>
    <w:rsid w:val="00037B34"/>
    <w:rsid w:val="00041979"/>
    <w:rsid w:val="00054CD2"/>
    <w:rsid w:val="00055571"/>
    <w:rsid w:val="00057C04"/>
    <w:rsid w:val="00060541"/>
    <w:rsid w:val="000637BE"/>
    <w:rsid w:val="00063EEB"/>
    <w:rsid w:val="00066B27"/>
    <w:rsid w:val="00071F85"/>
    <w:rsid w:val="00074A76"/>
    <w:rsid w:val="00074CDF"/>
    <w:rsid w:val="00075DA3"/>
    <w:rsid w:val="0008136C"/>
    <w:rsid w:val="0008353F"/>
    <w:rsid w:val="00086301"/>
    <w:rsid w:val="000864B5"/>
    <w:rsid w:val="00087042"/>
    <w:rsid w:val="00090E84"/>
    <w:rsid w:val="0009480F"/>
    <w:rsid w:val="000A0356"/>
    <w:rsid w:val="000A18DA"/>
    <w:rsid w:val="000A2974"/>
    <w:rsid w:val="000A300E"/>
    <w:rsid w:val="000A3EE2"/>
    <w:rsid w:val="000A6F29"/>
    <w:rsid w:val="000A74EC"/>
    <w:rsid w:val="000B1C31"/>
    <w:rsid w:val="000B2385"/>
    <w:rsid w:val="000C7E0D"/>
    <w:rsid w:val="000D165F"/>
    <w:rsid w:val="000D2EE6"/>
    <w:rsid w:val="000D3489"/>
    <w:rsid w:val="000D7078"/>
    <w:rsid w:val="000E6B4B"/>
    <w:rsid w:val="000F0B6C"/>
    <w:rsid w:val="000F1623"/>
    <w:rsid w:val="000F3376"/>
    <w:rsid w:val="001015E4"/>
    <w:rsid w:val="001037C7"/>
    <w:rsid w:val="0010467C"/>
    <w:rsid w:val="00106B99"/>
    <w:rsid w:val="0011294D"/>
    <w:rsid w:val="00114799"/>
    <w:rsid w:val="00114F82"/>
    <w:rsid w:val="00121338"/>
    <w:rsid w:val="0012158F"/>
    <w:rsid w:val="00124377"/>
    <w:rsid w:val="0012617F"/>
    <w:rsid w:val="00132DC8"/>
    <w:rsid w:val="001332EB"/>
    <w:rsid w:val="00136303"/>
    <w:rsid w:val="0014029D"/>
    <w:rsid w:val="00147920"/>
    <w:rsid w:val="00147F21"/>
    <w:rsid w:val="0015138D"/>
    <w:rsid w:val="00151BE2"/>
    <w:rsid w:val="00153063"/>
    <w:rsid w:val="00153919"/>
    <w:rsid w:val="0016281A"/>
    <w:rsid w:val="00163921"/>
    <w:rsid w:val="001644CF"/>
    <w:rsid w:val="001651B5"/>
    <w:rsid w:val="0016578F"/>
    <w:rsid w:val="00167D16"/>
    <w:rsid w:val="0017055C"/>
    <w:rsid w:val="00172F7F"/>
    <w:rsid w:val="001751AE"/>
    <w:rsid w:val="00183CCC"/>
    <w:rsid w:val="00185C57"/>
    <w:rsid w:val="00190CAE"/>
    <w:rsid w:val="00191334"/>
    <w:rsid w:val="001944BC"/>
    <w:rsid w:val="00195CCA"/>
    <w:rsid w:val="001A2DA7"/>
    <w:rsid w:val="001A6C0C"/>
    <w:rsid w:val="001B0844"/>
    <w:rsid w:val="001B156B"/>
    <w:rsid w:val="001B4698"/>
    <w:rsid w:val="001B6F94"/>
    <w:rsid w:val="001D15EC"/>
    <w:rsid w:val="001D1D1E"/>
    <w:rsid w:val="001D4193"/>
    <w:rsid w:val="001D5980"/>
    <w:rsid w:val="001D630C"/>
    <w:rsid w:val="001D73CA"/>
    <w:rsid w:val="001E0AC6"/>
    <w:rsid w:val="001E5FB0"/>
    <w:rsid w:val="001E642C"/>
    <w:rsid w:val="001F2381"/>
    <w:rsid w:val="001F78DE"/>
    <w:rsid w:val="001F79B2"/>
    <w:rsid w:val="0020380C"/>
    <w:rsid w:val="00205C23"/>
    <w:rsid w:val="00206C7D"/>
    <w:rsid w:val="00207518"/>
    <w:rsid w:val="00210592"/>
    <w:rsid w:val="00211920"/>
    <w:rsid w:val="002162BF"/>
    <w:rsid w:val="00216545"/>
    <w:rsid w:val="002266C0"/>
    <w:rsid w:val="00226C4F"/>
    <w:rsid w:val="00240CDA"/>
    <w:rsid w:val="00245FFC"/>
    <w:rsid w:val="00246A27"/>
    <w:rsid w:val="00251011"/>
    <w:rsid w:val="00251084"/>
    <w:rsid w:val="0025304E"/>
    <w:rsid w:val="00253604"/>
    <w:rsid w:val="002625D2"/>
    <w:rsid w:val="00263670"/>
    <w:rsid w:val="00263FAD"/>
    <w:rsid w:val="00266494"/>
    <w:rsid w:val="002707DC"/>
    <w:rsid w:val="002734F1"/>
    <w:rsid w:val="00277605"/>
    <w:rsid w:val="00282804"/>
    <w:rsid w:val="00283273"/>
    <w:rsid w:val="002839C0"/>
    <w:rsid w:val="002A3DD8"/>
    <w:rsid w:val="002B1E8D"/>
    <w:rsid w:val="002B689D"/>
    <w:rsid w:val="002C1A4B"/>
    <w:rsid w:val="002C23E8"/>
    <w:rsid w:val="002C59DE"/>
    <w:rsid w:val="002C6DAF"/>
    <w:rsid w:val="002D04B9"/>
    <w:rsid w:val="002D3EB5"/>
    <w:rsid w:val="002D5334"/>
    <w:rsid w:val="002D7462"/>
    <w:rsid w:val="002E586E"/>
    <w:rsid w:val="002F3E18"/>
    <w:rsid w:val="002F4699"/>
    <w:rsid w:val="00300395"/>
    <w:rsid w:val="003076C4"/>
    <w:rsid w:val="00311A32"/>
    <w:rsid w:val="003143D3"/>
    <w:rsid w:val="003177A6"/>
    <w:rsid w:val="003177F6"/>
    <w:rsid w:val="00317CCB"/>
    <w:rsid w:val="00317DD5"/>
    <w:rsid w:val="003212B3"/>
    <w:rsid w:val="00331D06"/>
    <w:rsid w:val="0033259B"/>
    <w:rsid w:val="003355DE"/>
    <w:rsid w:val="00344BA7"/>
    <w:rsid w:val="00344BD1"/>
    <w:rsid w:val="00346556"/>
    <w:rsid w:val="00353E8B"/>
    <w:rsid w:val="003728F5"/>
    <w:rsid w:val="00373A4A"/>
    <w:rsid w:val="0038021D"/>
    <w:rsid w:val="00381435"/>
    <w:rsid w:val="00382149"/>
    <w:rsid w:val="00392A58"/>
    <w:rsid w:val="003A0930"/>
    <w:rsid w:val="003A1251"/>
    <w:rsid w:val="003A6436"/>
    <w:rsid w:val="003B0C2E"/>
    <w:rsid w:val="003B219C"/>
    <w:rsid w:val="003D47A2"/>
    <w:rsid w:val="003D4A10"/>
    <w:rsid w:val="003D608F"/>
    <w:rsid w:val="003E4611"/>
    <w:rsid w:val="003E5197"/>
    <w:rsid w:val="003E5832"/>
    <w:rsid w:val="003F2CA0"/>
    <w:rsid w:val="003F38EA"/>
    <w:rsid w:val="003F7EB8"/>
    <w:rsid w:val="00405319"/>
    <w:rsid w:val="004204D3"/>
    <w:rsid w:val="00420AF5"/>
    <w:rsid w:val="004244EE"/>
    <w:rsid w:val="00424FAD"/>
    <w:rsid w:val="004310D6"/>
    <w:rsid w:val="004313ED"/>
    <w:rsid w:val="004422C6"/>
    <w:rsid w:val="00442777"/>
    <w:rsid w:val="00442996"/>
    <w:rsid w:val="0044555D"/>
    <w:rsid w:val="00446109"/>
    <w:rsid w:val="00446A53"/>
    <w:rsid w:val="00451687"/>
    <w:rsid w:val="00453D48"/>
    <w:rsid w:val="00461441"/>
    <w:rsid w:val="004623E4"/>
    <w:rsid w:val="00481647"/>
    <w:rsid w:val="00490CDF"/>
    <w:rsid w:val="00497BDB"/>
    <w:rsid w:val="004A620F"/>
    <w:rsid w:val="004B1EF7"/>
    <w:rsid w:val="004B2869"/>
    <w:rsid w:val="004C172A"/>
    <w:rsid w:val="004C18B3"/>
    <w:rsid w:val="004C6B32"/>
    <w:rsid w:val="004C6B49"/>
    <w:rsid w:val="004D2B01"/>
    <w:rsid w:val="004D33A2"/>
    <w:rsid w:val="004D5DC5"/>
    <w:rsid w:val="004E2D93"/>
    <w:rsid w:val="004E763E"/>
    <w:rsid w:val="004F06B9"/>
    <w:rsid w:val="00500C27"/>
    <w:rsid w:val="005061BD"/>
    <w:rsid w:val="00510E97"/>
    <w:rsid w:val="005157B6"/>
    <w:rsid w:val="005246F1"/>
    <w:rsid w:val="00524EE3"/>
    <w:rsid w:val="00527647"/>
    <w:rsid w:val="00537EAA"/>
    <w:rsid w:val="005461B9"/>
    <w:rsid w:val="00551E77"/>
    <w:rsid w:val="00555138"/>
    <w:rsid w:val="00556619"/>
    <w:rsid w:val="00561DC3"/>
    <w:rsid w:val="005623D4"/>
    <w:rsid w:val="005668C0"/>
    <w:rsid w:val="00574933"/>
    <w:rsid w:val="00574B49"/>
    <w:rsid w:val="00574BA5"/>
    <w:rsid w:val="00585332"/>
    <w:rsid w:val="00586104"/>
    <w:rsid w:val="0059281E"/>
    <w:rsid w:val="00596A00"/>
    <w:rsid w:val="005A4A02"/>
    <w:rsid w:val="005A538A"/>
    <w:rsid w:val="005B053D"/>
    <w:rsid w:val="005B0C22"/>
    <w:rsid w:val="005B39DE"/>
    <w:rsid w:val="005B6999"/>
    <w:rsid w:val="005C1F43"/>
    <w:rsid w:val="005C6966"/>
    <w:rsid w:val="005C6A99"/>
    <w:rsid w:val="005D3AD0"/>
    <w:rsid w:val="005D67F4"/>
    <w:rsid w:val="005D6F31"/>
    <w:rsid w:val="005D7547"/>
    <w:rsid w:val="005E5515"/>
    <w:rsid w:val="005E55E5"/>
    <w:rsid w:val="005F44E2"/>
    <w:rsid w:val="005F51F9"/>
    <w:rsid w:val="00603674"/>
    <w:rsid w:val="00603D7E"/>
    <w:rsid w:val="00607B16"/>
    <w:rsid w:val="00611F40"/>
    <w:rsid w:val="0061438F"/>
    <w:rsid w:val="00614972"/>
    <w:rsid w:val="00616890"/>
    <w:rsid w:val="006168C3"/>
    <w:rsid w:val="00621B8B"/>
    <w:rsid w:val="006231BA"/>
    <w:rsid w:val="0062524E"/>
    <w:rsid w:val="006268A2"/>
    <w:rsid w:val="00631F72"/>
    <w:rsid w:val="006326DE"/>
    <w:rsid w:val="00653509"/>
    <w:rsid w:val="00653617"/>
    <w:rsid w:val="00656026"/>
    <w:rsid w:val="00656620"/>
    <w:rsid w:val="00666A5B"/>
    <w:rsid w:val="00667730"/>
    <w:rsid w:val="00670455"/>
    <w:rsid w:val="00672607"/>
    <w:rsid w:val="00676246"/>
    <w:rsid w:val="006766A0"/>
    <w:rsid w:val="0068271B"/>
    <w:rsid w:val="006842EA"/>
    <w:rsid w:val="00694175"/>
    <w:rsid w:val="006A064C"/>
    <w:rsid w:val="006A0D58"/>
    <w:rsid w:val="006A251B"/>
    <w:rsid w:val="006B3E05"/>
    <w:rsid w:val="006C0C7C"/>
    <w:rsid w:val="006C5417"/>
    <w:rsid w:val="006D0245"/>
    <w:rsid w:val="006D1083"/>
    <w:rsid w:val="006D2848"/>
    <w:rsid w:val="006D4600"/>
    <w:rsid w:val="006E3891"/>
    <w:rsid w:val="006E4572"/>
    <w:rsid w:val="006E597F"/>
    <w:rsid w:val="006E5B33"/>
    <w:rsid w:val="006F0F40"/>
    <w:rsid w:val="006F1808"/>
    <w:rsid w:val="006F2A17"/>
    <w:rsid w:val="006F6F2D"/>
    <w:rsid w:val="00702BC0"/>
    <w:rsid w:val="007032EB"/>
    <w:rsid w:val="00707DC2"/>
    <w:rsid w:val="00712D1F"/>
    <w:rsid w:val="00712F33"/>
    <w:rsid w:val="007162F0"/>
    <w:rsid w:val="00717C1D"/>
    <w:rsid w:val="00720B3F"/>
    <w:rsid w:val="007259D7"/>
    <w:rsid w:val="007340F4"/>
    <w:rsid w:val="007361E8"/>
    <w:rsid w:val="00740268"/>
    <w:rsid w:val="00745D7D"/>
    <w:rsid w:val="00750E4B"/>
    <w:rsid w:val="00751F5F"/>
    <w:rsid w:val="00752AF6"/>
    <w:rsid w:val="007549A2"/>
    <w:rsid w:val="007551E3"/>
    <w:rsid w:val="00761B8B"/>
    <w:rsid w:val="007643B0"/>
    <w:rsid w:val="007664B5"/>
    <w:rsid w:val="0077042D"/>
    <w:rsid w:val="0077554E"/>
    <w:rsid w:val="00776265"/>
    <w:rsid w:val="00776CD9"/>
    <w:rsid w:val="007815B3"/>
    <w:rsid w:val="0078164D"/>
    <w:rsid w:val="00782409"/>
    <w:rsid w:val="00786A22"/>
    <w:rsid w:val="00787AF3"/>
    <w:rsid w:val="007917C3"/>
    <w:rsid w:val="00795918"/>
    <w:rsid w:val="00797816"/>
    <w:rsid w:val="007B2355"/>
    <w:rsid w:val="007B5182"/>
    <w:rsid w:val="007C56B2"/>
    <w:rsid w:val="007C6E49"/>
    <w:rsid w:val="007D2609"/>
    <w:rsid w:val="007D5124"/>
    <w:rsid w:val="007D53E9"/>
    <w:rsid w:val="007D64C2"/>
    <w:rsid w:val="007E202B"/>
    <w:rsid w:val="007E76B4"/>
    <w:rsid w:val="007F3806"/>
    <w:rsid w:val="007F6334"/>
    <w:rsid w:val="00804A92"/>
    <w:rsid w:val="00807AED"/>
    <w:rsid w:val="00810E6C"/>
    <w:rsid w:val="00810ECA"/>
    <w:rsid w:val="00812AE6"/>
    <w:rsid w:val="00813DC2"/>
    <w:rsid w:val="008149F3"/>
    <w:rsid w:val="008167F5"/>
    <w:rsid w:val="0081685F"/>
    <w:rsid w:val="00817A00"/>
    <w:rsid w:val="00824B59"/>
    <w:rsid w:val="00827E65"/>
    <w:rsid w:val="008351AB"/>
    <w:rsid w:val="00835C75"/>
    <w:rsid w:val="008373AC"/>
    <w:rsid w:val="00837772"/>
    <w:rsid w:val="008449DE"/>
    <w:rsid w:val="0085268F"/>
    <w:rsid w:val="00860E1A"/>
    <w:rsid w:val="008649B0"/>
    <w:rsid w:val="00872155"/>
    <w:rsid w:val="00875A54"/>
    <w:rsid w:val="008764A3"/>
    <w:rsid w:val="00877E2B"/>
    <w:rsid w:val="008920A0"/>
    <w:rsid w:val="008952FC"/>
    <w:rsid w:val="008B3A23"/>
    <w:rsid w:val="008B54D9"/>
    <w:rsid w:val="008B5D03"/>
    <w:rsid w:val="008B614B"/>
    <w:rsid w:val="008B63E1"/>
    <w:rsid w:val="008C0EDC"/>
    <w:rsid w:val="008C3E61"/>
    <w:rsid w:val="008C4484"/>
    <w:rsid w:val="008C6E66"/>
    <w:rsid w:val="008D3005"/>
    <w:rsid w:val="008D4C9D"/>
    <w:rsid w:val="008D72E5"/>
    <w:rsid w:val="008D7988"/>
    <w:rsid w:val="008F5D62"/>
    <w:rsid w:val="008F6291"/>
    <w:rsid w:val="00902EDA"/>
    <w:rsid w:val="0090414F"/>
    <w:rsid w:val="00904794"/>
    <w:rsid w:val="00911C76"/>
    <w:rsid w:val="00912063"/>
    <w:rsid w:val="00912AB1"/>
    <w:rsid w:val="00915FEE"/>
    <w:rsid w:val="00916DEC"/>
    <w:rsid w:val="00917E9D"/>
    <w:rsid w:val="0092242E"/>
    <w:rsid w:val="00925FCB"/>
    <w:rsid w:val="00931AFA"/>
    <w:rsid w:val="00931EBF"/>
    <w:rsid w:val="0093612C"/>
    <w:rsid w:val="00936139"/>
    <w:rsid w:val="00946A4F"/>
    <w:rsid w:val="00950E7D"/>
    <w:rsid w:val="009511D8"/>
    <w:rsid w:val="00952AD9"/>
    <w:rsid w:val="0095665C"/>
    <w:rsid w:val="00960BDC"/>
    <w:rsid w:val="0096124C"/>
    <w:rsid w:val="009613E5"/>
    <w:rsid w:val="009624EB"/>
    <w:rsid w:val="009726EC"/>
    <w:rsid w:val="009777B0"/>
    <w:rsid w:val="009806A9"/>
    <w:rsid w:val="00983CC7"/>
    <w:rsid w:val="00985F2F"/>
    <w:rsid w:val="009872B0"/>
    <w:rsid w:val="009874EE"/>
    <w:rsid w:val="00995371"/>
    <w:rsid w:val="009A0BE5"/>
    <w:rsid w:val="009A1447"/>
    <w:rsid w:val="009A343B"/>
    <w:rsid w:val="009A3E20"/>
    <w:rsid w:val="009A47E5"/>
    <w:rsid w:val="009A4EBF"/>
    <w:rsid w:val="009A5FA6"/>
    <w:rsid w:val="009A6040"/>
    <w:rsid w:val="009B299B"/>
    <w:rsid w:val="009B5EB7"/>
    <w:rsid w:val="009C0446"/>
    <w:rsid w:val="009C42D3"/>
    <w:rsid w:val="009D0762"/>
    <w:rsid w:val="009D11CE"/>
    <w:rsid w:val="009D19BE"/>
    <w:rsid w:val="009E4FC4"/>
    <w:rsid w:val="009F1828"/>
    <w:rsid w:val="009F215F"/>
    <w:rsid w:val="009F48B2"/>
    <w:rsid w:val="009F63B9"/>
    <w:rsid w:val="00A040E9"/>
    <w:rsid w:val="00A11DED"/>
    <w:rsid w:val="00A131F2"/>
    <w:rsid w:val="00A1380B"/>
    <w:rsid w:val="00A139A2"/>
    <w:rsid w:val="00A22E41"/>
    <w:rsid w:val="00A315BE"/>
    <w:rsid w:val="00A372AF"/>
    <w:rsid w:val="00A43F6B"/>
    <w:rsid w:val="00A458F0"/>
    <w:rsid w:val="00A5183C"/>
    <w:rsid w:val="00A52E09"/>
    <w:rsid w:val="00A63167"/>
    <w:rsid w:val="00A674B1"/>
    <w:rsid w:val="00A74B7E"/>
    <w:rsid w:val="00A75CD3"/>
    <w:rsid w:val="00A80C8E"/>
    <w:rsid w:val="00A82502"/>
    <w:rsid w:val="00A82A31"/>
    <w:rsid w:val="00A84680"/>
    <w:rsid w:val="00A90C90"/>
    <w:rsid w:val="00A91B7E"/>
    <w:rsid w:val="00A937F9"/>
    <w:rsid w:val="00A95488"/>
    <w:rsid w:val="00A97303"/>
    <w:rsid w:val="00AA1641"/>
    <w:rsid w:val="00AB05D9"/>
    <w:rsid w:val="00AB069A"/>
    <w:rsid w:val="00AB16F9"/>
    <w:rsid w:val="00AB2DAF"/>
    <w:rsid w:val="00AB402C"/>
    <w:rsid w:val="00AC4DAD"/>
    <w:rsid w:val="00AC60B0"/>
    <w:rsid w:val="00AD0120"/>
    <w:rsid w:val="00AD1C7C"/>
    <w:rsid w:val="00AE1166"/>
    <w:rsid w:val="00AE42DF"/>
    <w:rsid w:val="00AE4731"/>
    <w:rsid w:val="00AF2687"/>
    <w:rsid w:val="00AF4DE3"/>
    <w:rsid w:val="00AF689F"/>
    <w:rsid w:val="00B023E4"/>
    <w:rsid w:val="00B05833"/>
    <w:rsid w:val="00B100A1"/>
    <w:rsid w:val="00B108E7"/>
    <w:rsid w:val="00B10A19"/>
    <w:rsid w:val="00B232C4"/>
    <w:rsid w:val="00B26BBE"/>
    <w:rsid w:val="00B30E40"/>
    <w:rsid w:val="00B35DC4"/>
    <w:rsid w:val="00B360A3"/>
    <w:rsid w:val="00B4315F"/>
    <w:rsid w:val="00B44D32"/>
    <w:rsid w:val="00B508E9"/>
    <w:rsid w:val="00B50D03"/>
    <w:rsid w:val="00B67739"/>
    <w:rsid w:val="00B677CB"/>
    <w:rsid w:val="00B67953"/>
    <w:rsid w:val="00B725B6"/>
    <w:rsid w:val="00B80004"/>
    <w:rsid w:val="00B81A28"/>
    <w:rsid w:val="00B829CA"/>
    <w:rsid w:val="00B84133"/>
    <w:rsid w:val="00B86F32"/>
    <w:rsid w:val="00B9341A"/>
    <w:rsid w:val="00B9559D"/>
    <w:rsid w:val="00B97F1D"/>
    <w:rsid w:val="00BB143B"/>
    <w:rsid w:val="00BB1AFE"/>
    <w:rsid w:val="00BB2D62"/>
    <w:rsid w:val="00BB517E"/>
    <w:rsid w:val="00BB76B4"/>
    <w:rsid w:val="00BC5BF3"/>
    <w:rsid w:val="00BC7AB7"/>
    <w:rsid w:val="00BE0B71"/>
    <w:rsid w:val="00BE57C3"/>
    <w:rsid w:val="00BF14AD"/>
    <w:rsid w:val="00BF2034"/>
    <w:rsid w:val="00BF385D"/>
    <w:rsid w:val="00BF3ED4"/>
    <w:rsid w:val="00C15B92"/>
    <w:rsid w:val="00C17CE8"/>
    <w:rsid w:val="00C2058B"/>
    <w:rsid w:val="00C321EB"/>
    <w:rsid w:val="00C32B62"/>
    <w:rsid w:val="00C3571D"/>
    <w:rsid w:val="00C4152D"/>
    <w:rsid w:val="00C43A9E"/>
    <w:rsid w:val="00C442BC"/>
    <w:rsid w:val="00C50ACC"/>
    <w:rsid w:val="00C535C2"/>
    <w:rsid w:val="00C54E84"/>
    <w:rsid w:val="00C65BC8"/>
    <w:rsid w:val="00C74336"/>
    <w:rsid w:val="00C74813"/>
    <w:rsid w:val="00C75048"/>
    <w:rsid w:val="00C82395"/>
    <w:rsid w:val="00C82910"/>
    <w:rsid w:val="00C8436B"/>
    <w:rsid w:val="00C90C4C"/>
    <w:rsid w:val="00C9587C"/>
    <w:rsid w:val="00C9746F"/>
    <w:rsid w:val="00CA38A9"/>
    <w:rsid w:val="00CA4E90"/>
    <w:rsid w:val="00CB1460"/>
    <w:rsid w:val="00CB3EEE"/>
    <w:rsid w:val="00CB6F14"/>
    <w:rsid w:val="00CC08B5"/>
    <w:rsid w:val="00CC46D8"/>
    <w:rsid w:val="00CC64D2"/>
    <w:rsid w:val="00CC7689"/>
    <w:rsid w:val="00CC77AF"/>
    <w:rsid w:val="00CD123D"/>
    <w:rsid w:val="00CD31E6"/>
    <w:rsid w:val="00CD4ED8"/>
    <w:rsid w:val="00CD7CB0"/>
    <w:rsid w:val="00CF0D29"/>
    <w:rsid w:val="00CF2A0A"/>
    <w:rsid w:val="00CF2E26"/>
    <w:rsid w:val="00CF6CE0"/>
    <w:rsid w:val="00D0672A"/>
    <w:rsid w:val="00D071E3"/>
    <w:rsid w:val="00D1150F"/>
    <w:rsid w:val="00D159FF"/>
    <w:rsid w:val="00D35C03"/>
    <w:rsid w:val="00D5343A"/>
    <w:rsid w:val="00D544D2"/>
    <w:rsid w:val="00D61652"/>
    <w:rsid w:val="00D6200D"/>
    <w:rsid w:val="00D678CF"/>
    <w:rsid w:val="00D7205B"/>
    <w:rsid w:val="00D72560"/>
    <w:rsid w:val="00D754B4"/>
    <w:rsid w:val="00D8092E"/>
    <w:rsid w:val="00D84C92"/>
    <w:rsid w:val="00D8517B"/>
    <w:rsid w:val="00D90B26"/>
    <w:rsid w:val="00D92148"/>
    <w:rsid w:val="00D9439C"/>
    <w:rsid w:val="00D9503C"/>
    <w:rsid w:val="00D96C66"/>
    <w:rsid w:val="00DA0FFB"/>
    <w:rsid w:val="00DB06F0"/>
    <w:rsid w:val="00DB07A0"/>
    <w:rsid w:val="00DB3D56"/>
    <w:rsid w:val="00DB4409"/>
    <w:rsid w:val="00DC4B71"/>
    <w:rsid w:val="00DC514F"/>
    <w:rsid w:val="00DD22AB"/>
    <w:rsid w:val="00DD5D92"/>
    <w:rsid w:val="00DD5F7B"/>
    <w:rsid w:val="00DE1A4F"/>
    <w:rsid w:val="00DE6BB7"/>
    <w:rsid w:val="00DF05E0"/>
    <w:rsid w:val="00DF2EB2"/>
    <w:rsid w:val="00DF3F18"/>
    <w:rsid w:val="00DF4147"/>
    <w:rsid w:val="00DF5F71"/>
    <w:rsid w:val="00E0081D"/>
    <w:rsid w:val="00E01ACE"/>
    <w:rsid w:val="00E036E6"/>
    <w:rsid w:val="00E04DDC"/>
    <w:rsid w:val="00E07C5A"/>
    <w:rsid w:val="00E10553"/>
    <w:rsid w:val="00E139B7"/>
    <w:rsid w:val="00E14ABB"/>
    <w:rsid w:val="00E16EB4"/>
    <w:rsid w:val="00E17ACA"/>
    <w:rsid w:val="00E246D0"/>
    <w:rsid w:val="00E251B1"/>
    <w:rsid w:val="00E277EC"/>
    <w:rsid w:val="00E27F59"/>
    <w:rsid w:val="00E30AEC"/>
    <w:rsid w:val="00E32656"/>
    <w:rsid w:val="00E36328"/>
    <w:rsid w:val="00E40E46"/>
    <w:rsid w:val="00E50F63"/>
    <w:rsid w:val="00E51E9A"/>
    <w:rsid w:val="00E51FDE"/>
    <w:rsid w:val="00E61EE3"/>
    <w:rsid w:val="00E63B33"/>
    <w:rsid w:val="00E66550"/>
    <w:rsid w:val="00E67676"/>
    <w:rsid w:val="00E67A24"/>
    <w:rsid w:val="00E749FF"/>
    <w:rsid w:val="00E75B76"/>
    <w:rsid w:val="00E776E7"/>
    <w:rsid w:val="00E77E41"/>
    <w:rsid w:val="00E81FBA"/>
    <w:rsid w:val="00E925A7"/>
    <w:rsid w:val="00E94AA2"/>
    <w:rsid w:val="00EA6EB3"/>
    <w:rsid w:val="00EB0424"/>
    <w:rsid w:val="00EB0A47"/>
    <w:rsid w:val="00EB284B"/>
    <w:rsid w:val="00EC14AA"/>
    <w:rsid w:val="00EC698E"/>
    <w:rsid w:val="00ED0112"/>
    <w:rsid w:val="00ED2296"/>
    <w:rsid w:val="00ED6B55"/>
    <w:rsid w:val="00EE1FE5"/>
    <w:rsid w:val="00EE35A5"/>
    <w:rsid w:val="00EE44C8"/>
    <w:rsid w:val="00EE4B4C"/>
    <w:rsid w:val="00EE5489"/>
    <w:rsid w:val="00EE7123"/>
    <w:rsid w:val="00EE7813"/>
    <w:rsid w:val="00EF107F"/>
    <w:rsid w:val="00EF11F3"/>
    <w:rsid w:val="00EF54C2"/>
    <w:rsid w:val="00EF597C"/>
    <w:rsid w:val="00EF700D"/>
    <w:rsid w:val="00F0117C"/>
    <w:rsid w:val="00F01480"/>
    <w:rsid w:val="00F05B5E"/>
    <w:rsid w:val="00F10A6B"/>
    <w:rsid w:val="00F13B7B"/>
    <w:rsid w:val="00F14657"/>
    <w:rsid w:val="00F15FB9"/>
    <w:rsid w:val="00F23F89"/>
    <w:rsid w:val="00F30EA4"/>
    <w:rsid w:val="00F34C0E"/>
    <w:rsid w:val="00F36958"/>
    <w:rsid w:val="00F36960"/>
    <w:rsid w:val="00F36FC9"/>
    <w:rsid w:val="00F37755"/>
    <w:rsid w:val="00F406A0"/>
    <w:rsid w:val="00F42BBF"/>
    <w:rsid w:val="00F442BF"/>
    <w:rsid w:val="00F45C85"/>
    <w:rsid w:val="00F500AB"/>
    <w:rsid w:val="00F62CD1"/>
    <w:rsid w:val="00F62D8F"/>
    <w:rsid w:val="00F65787"/>
    <w:rsid w:val="00F6716C"/>
    <w:rsid w:val="00F75F63"/>
    <w:rsid w:val="00F76E06"/>
    <w:rsid w:val="00F81550"/>
    <w:rsid w:val="00F84207"/>
    <w:rsid w:val="00F90330"/>
    <w:rsid w:val="00F91094"/>
    <w:rsid w:val="00F91A80"/>
    <w:rsid w:val="00F9323F"/>
    <w:rsid w:val="00F93673"/>
    <w:rsid w:val="00FA0EE2"/>
    <w:rsid w:val="00FA3178"/>
    <w:rsid w:val="00FA390E"/>
    <w:rsid w:val="00FB423B"/>
    <w:rsid w:val="00FB6D79"/>
    <w:rsid w:val="00FB6ED9"/>
    <w:rsid w:val="00FC429D"/>
    <w:rsid w:val="00FC5CEC"/>
    <w:rsid w:val="00FC78C3"/>
    <w:rsid w:val="00FD1675"/>
    <w:rsid w:val="00FE3C30"/>
    <w:rsid w:val="00FE74E5"/>
    <w:rsid w:val="00FE74F4"/>
    <w:rsid w:val="00FF5BBF"/>
    <w:rsid w:val="00FF649E"/>
    <w:rsid w:val="00FF7944"/>
    <w:rsid w:val="0805588B"/>
    <w:rsid w:val="0A4A44A6"/>
    <w:rsid w:val="0FDF0D69"/>
    <w:rsid w:val="11CB2908"/>
    <w:rsid w:val="14EC0958"/>
    <w:rsid w:val="183F456B"/>
    <w:rsid w:val="1A26633B"/>
    <w:rsid w:val="1AC03F0D"/>
    <w:rsid w:val="1ADA6B24"/>
    <w:rsid w:val="1C6164AF"/>
    <w:rsid w:val="20B45212"/>
    <w:rsid w:val="23645B24"/>
    <w:rsid w:val="27856BA4"/>
    <w:rsid w:val="292C4875"/>
    <w:rsid w:val="2CC113FE"/>
    <w:rsid w:val="2D50487E"/>
    <w:rsid w:val="30740B8D"/>
    <w:rsid w:val="31F6203D"/>
    <w:rsid w:val="3408123B"/>
    <w:rsid w:val="35D16B4D"/>
    <w:rsid w:val="38C552FA"/>
    <w:rsid w:val="38DF25A5"/>
    <w:rsid w:val="3A2D4A6A"/>
    <w:rsid w:val="3CFC7EB2"/>
    <w:rsid w:val="3F22563C"/>
    <w:rsid w:val="41A02701"/>
    <w:rsid w:val="45BF1829"/>
    <w:rsid w:val="4D590AF2"/>
    <w:rsid w:val="4E792611"/>
    <w:rsid w:val="59BA03AC"/>
    <w:rsid w:val="5A02058E"/>
    <w:rsid w:val="5CE9060B"/>
    <w:rsid w:val="64622F7C"/>
    <w:rsid w:val="664A4D55"/>
    <w:rsid w:val="69564C63"/>
    <w:rsid w:val="6CBC7B76"/>
    <w:rsid w:val="7476433D"/>
    <w:rsid w:val="77551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SXC</Company>
  <Pages>2</Pages>
  <Words>1327</Words>
  <Characters>1379</Characters>
  <Lines>16</Lines>
  <Paragraphs>4</Paragraphs>
  <TotalTime>10</TotalTime>
  <ScaleCrop>false</ScaleCrop>
  <LinksUpToDate>false</LinksUpToDate>
  <CharactersWithSpaces>1526</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2021-05-21T05:00:00Z</dcterms:created>
  <dc:creator>诺小盒</dc:creator>
  <cp:lastModifiedBy>教师教学发展中心/教学质量评估中心</cp:lastModifiedBy>
  <cp:lastPrinted>2023-04-06T09:59:01Z</cp:lastPrinted>
  <dcterms:modified xsi:type="dcterms:W3CDTF">2023-04-06T10:02:07Z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A95D54CECFA34D81BF8F6BD1FBD24392</vt:lpwstr>
  </property>
</Properties>
</file>